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FE5" w:rsidRDefault="00840FE5" w:rsidP="00840FE5">
      <w:pPr>
        <w:jc w:val="center"/>
        <w:rPr>
          <w:b/>
        </w:rPr>
      </w:pPr>
      <w:r w:rsidRPr="00840FE5">
        <w:rPr>
          <w:b/>
        </w:rPr>
        <w:t>RÓŻNE ASPEKTY DZIAŁANIA RZECZOZNAWCY MAJĄTKOWEGO</w:t>
      </w:r>
    </w:p>
    <w:p w:rsidR="00840FE5" w:rsidRPr="00840FE5" w:rsidRDefault="00840FE5" w:rsidP="00840FE5">
      <w:pPr>
        <w:jc w:val="center"/>
        <w:rPr>
          <w:b/>
        </w:rPr>
      </w:pPr>
      <w:r>
        <w:rPr>
          <w:b/>
        </w:rPr>
        <w:t>========================================================</w:t>
      </w:r>
    </w:p>
    <w:p w:rsidR="00840FE5" w:rsidRDefault="00840FE5" w:rsidP="00840FE5">
      <w:pPr>
        <w:jc w:val="right"/>
      </w:pPr>
    </w:p>
    <w:p w:rsidR="00840FE5" w:rsidRDefault="00840FE5" w:rsidP="00840FE5">
      <w:pPr>
        <w:jc w:val="right"/>
      </w:pPr>
    </w:p>
    <w:p w:rsidR="00840FE5" w:rsidRDefault="00840FE5" w:rsidP="00840FE5">
      <w:pPr>
        <w:jc w:val="right"/>
      </w:pPr>
    </w:p>
    <w:p w:rsidR="00840FE5" w:rsidRDefault="00840FE5" w:rsidP="00840FE5">
      <w:pPr>
        <w:jc w:val="right"/>
      </w:pPr>
    </w:p>
    <w:p w:rsidR="00840FE5" w:rsidRDefault="00840FE5" w:rsidP="00840FE5">
      <w:pPr>
        <w:jc w:val="right"/>
      </w:pPr>
    </w:p>
    <w:p w:rsidR="00840FE5" w:rsidRDefault="00840FE5" w:rsidP="00840FE5">
      <w:pPr>
        <w:jc w:val="right"/>
      </w:pPr>
    </w:p>
    <w:p w:rsidR="00840FE5" w:rsidRDefault="00840FE5" w:rsidP="00840FE5">
      <w:pPr>
        <w:jc w:val="right"/>
      </w:pPr>
    </w:p>
    <w:p w:rsidR="00840FE5" w:rsidRDefault="00840FE5" w:rsidP="00840FE5">
      <w:pPr>
        <w:jc w:val="right"/>
      </w:pPr>
    </w:p>
    <w:p w:rsidR="00840FE5" w:rsidRDefault="00840FE5" w:rsidP="00840FE5">
      <w:pPr>
        <w:jc w:val="right"/>
      </w:pPr>
    </w:p>
    <w:p w:rsidR="00840FE5" w:rsidRDefault="00840FE5" w:rsidP="00840FE5">
      <w:pPr>
        <w:jc w:val="right"/>
      </w:pPr>
    </w:p>
    <w:p w:rsidR="00840FE5" w:rsidRDefault="00840FE5" w:rsidP="00840FE5">
      <w:pPr>
        <w:jc w:val="right"/>
      </w:pPr>
    </w:p>
    <w:p w:rsidR="00840FE5" w:rsidRDefault="00840FE5" w:rsidP="00840FE5">
      <w:pPr>
        <w:jc w:val="right"/>
      </w:pPr>
    </w:p>
    <w:p w:rsidR="00840FE5" w:rsidRDefault="009C4CFD" w:rsidP="00840FE5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ZASADY OBLICZANIA POWIERZCHNI UŻYTKOWEJ BUDYNKÓW.</w:t>
      </w:r>
    </w:p>
    <w:p w:rsidR="00840FE5" w:rsidRDefault="00840FE5" w:rsidP="00840FE5">
      <w:pPr>
        <w:jc w:val="center"/>
        <w:rPr>
          <w:b/>
          <w:sz w:val="48"/>
          <w:szCs w:val="48"/>
        </w:rPr>
      </w:pPr>
    </w:p>
    <w:p w:rsidR="00840FE5" w:rsidRDefault="00840FE5" w:rsidP="00840FE5">
      <w:pPr>
        <w:jc w:val="center"/>
        <w:rPr>
          <w:b/>
          <w:sz w:val="48"/>
          <w:szCs w:val="48"/>
        </w:rPr>
      </w:pPr>
    </w:p>
    <w:p w:rsidR="00840FE5" w:rsidRDefault="00840FE5" w:rsidP="00840FE5">
      <w:pPr>
        <w:jc w:val="center"/>
        <w:rPr>
          <w:b/>
          <w:sz w:val="48"/>
          <w:szCs w:val="48"/>
        </w:rPr>
      </w:pPr>
    </w:p>
    <w:p w:rsidR="00840FE5" w:rsidRDefault="00840FE5" w:rsidP="00840FE5">
      <w:pPr>
        <w:jc w:val="center"/>
        <w:rPr>
          <w:b/>
          <w:sz w:val="48"/>
          <w:szCs w:val="48"/>
        </w:rPr>
      </w:pPr>
    </w:p>
    <w:p w:rsidR="00840FE5" w:rsidRDefault="00840FE5" w:rsidP="00840FE5">
      <w:pPr>
        <w:jc w:val="center"/>
        <w:rPr>
          <w:b/>
          <w:sz w:val="48"/>
          <w:szCs w:val="48"/>
        </w:rPr>
      </w:pPr>
    </w:p>
    <w:p w:rsidR="00840FE5" w:rsidRDefault="00840FE5" w:rsidP="00840FE5">
      <w:pPr>
        <w:jc w:val="center"/>
        <w:rPr>
          <w:b/>
          <w:sz w:val="48"/>
          <w:szCs w:val="48"/>
        </w:rPr>
      </w:pPr>
    </w:p>
    <w:p w:rsidR="00840FE5" w:rsidRDefault="00840FE5" w:rsidP="00840FE5">
      <w:pPr>
        <w:jc w:val="center"/>
        <w:rPr>
          <w:b/>
          <w:sz w:val="48"/>
          <w:szCs w:val="48"/>
        </w:rPr>
      </w:pPr>
    </w:p>
    <w:p w:rsidR="00840FE5" w:rsidRDefault="00840FE5" w:rsidP="00840FE5">
      <w:pPr>
        <w:jc w:val="center"/>
        <w:rPr>
          <w:b/>
          <w:sz w:val="48"/>
          <w:szCs w:val="48"/>
        </w:rPr>
      </w:pPr>
    </w:p>
    <w:p w:rsidR="00840FE5" w:rsidRDefault="00840FE5" w:rsidP="00840FE5">
      <w:pPr>
        <w:jc w:val="center"/>
        <w:rPr>
          <w:b/>
          <w:sz w:val="48"/>
          <w:szCs w:val="48"/>
        </w:rPr>
      </w:pPr>
    </w:p>
    <w:p w:rsidR="00840FE5" w:rsidRDefault="00840FE5" w:rsidP="00840FE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Andrzej Garus </w:t>
      </w:r>
      <w:proofErr w:type="spellStart"/>
      <w:r>
        <w:rPr>
          <w:b/>
          <w:sz w:val="28"/>
          <w:szCs w:val="28"/>
        </w:rPr>
        <w:t>upr</w:t>
      </w:r>
      <w:proofErr w:type="spellEnd"/>
      <w:r>
        <w:rPr>
          <w:b/>
          <w:sz w:val="28"/>
          <w:szCs w:val="28"/>
        </w:rPr>
        <w:t>. 3361</w:t>
      </w:r>
    </w:p>
    <w:p w:rsidR="00840FE5" w:rsidRDefault="00840FE5" w:rsidP="00840FE5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Bielsko-Biała 7 grudnia 2017 roku</w:t>
      </w:r>
    </w:p>
    <w:p w:rsidR="00840FE5" w:rsidRDefault="00840FE5" w:rsidP="00840FE5">
      <w:pPr>
        <w:jc w:val="right"/>
        <w:rPr>
          <w:b/>
          <w:sz w:val="28"/>
          <w:szCs w:val="28"/>
        </w:rPr>
      </w:pPr>
    </w:p>
    <w:p w:rsidR="00840FE5" w:rsidRDefault="00840FE5" w:rsidP="00840FE5">
      <w:pPr>
        <w:jc w:val="right"/>
        <w:rPr>
          <w:b/>
          <w:sz w:val="28"/>
          <w:szCs w:val="28"/>
        </w:rPr>
      </w:pPr>
    </w:p>
    <w:p w:rsidR="00840FE5" w:rsidRDefault="00840FE5" w:rsidP="00840FE5">
      <w:pPr>
        <w:jc w:val="right"/>
        <w:rPr>
          <w:b/>
          <w:sz w:val="28"/>
          <w:szCs w:val="28"/>
        </w:rPr>
      </w:pPr>
    </w:p>
    <w:p w:rsidR="00840FE5" w:rsidRDefault="00840FE5" w:rsidP="00840FE5">
      <w:pPr>
        <w:jc w:val="right"/>
        <w:rPr>
          <w:b/>
          <w:sz w:val="28"/>
          <w:szCs w:val="28"/>
        </w:rPr>
      </w:pPr>
    </w:p>
    <w:p w:rsidR="00840FE5" w:rsidRDefault="00840FE5" w:rsidP="00840FE5">
      <w:pPr>
        <w:jc w:val="right"/>
        <w:rPr>
          <w:b/>
          <w:sz w:val="28"/>
          <w:szCs w:val="28"/>
        </w:rPr>
      </w:pPr>
    </w:p>
    <w:p w:rsidR="00840FE5" w:rsidRDefault="00840FE5" w:rsidP="00840FE5">
      <w:pPr>
        <w:jc w:val="right"/>
        <w:rPr>
          <w:b/>
          <w:sz w:val="28"/>
          <w:szCs w:val="28"/>
        </w:rPr>
      </w:pPr>
    </w:p>
    <w:p w:rsidR="00840FE5" w:rsidRDefault="00840FE5" w:rsidP="00840FE5">
      <w:pPr>
        <w:jc w:val="right"/>
        <w:rPr>
          <w:b/>
          <w:sz w:val="28"/>
          <w:szCs w:val="28"/>
        </w:rPr>
      </w:pPr>
    </w:p>
    <w:p w:rsidR="00840FE5" w:rsidRDefault="00840FE5" w:rsidP="00840FE5">
      <w:pPr>
        <w:jc w:val="right"/>
        <w:rPr>
          <w:b/>
          <w:sz w:val="28"/>
          <w:szCs w:val="28"/>
        </w:rPr>
      </w:pPr>
    </w:p>
    <w:p w:rsidR="00840FE5" w:rsidRDefault="00840FE5" w:rsidP="00840FE5">
      <w:pPr>
        <w:jc w:val="right"/>
        <w:rPr>
          <w:b/>
          <w:sz w:val="28"/>
          <w:szCs w:val="28"/>
        </w:rPr>
      </w:pPr>
    </w:p>
    <w:p w:rsidR="00840FE5" w:rsidRDefault="00840FE5" w:rsidP="00840FE5">
      <w:pPr>
        <w:jc w:val="right"/>
        <w:rPr>
          <w:b/>
          <w:sz w:val="28"/>
          <w:szCs w:val="28"/>
        </w:rPr>
      </w:pPr>
    </w:p>
    <w:sdt>
      <w:sdtPr>
        <w:rPr>
          <w:rFonts w:ascii="Arial" w:eastAsia="Times New Roman" w:hAnsi="Arial" w:cs="Times New Roman"/>
          <w:b w:val="0"/>
          <w:bCs w:val="0"/>
          <w:color w:val="auto"/>
          <w:sz w:val="24"/>
          <w:szCs w:val="20"/>
          <w:lang w:eastAsia="pl-PL"/>
        </w:rPr>
        <w:id w:val="17707658"/>
        <w:docPartObj>
          <w:docPartGallery w:val="Table of Contents"/>
          <w:docPartUnique/>
        </w:docPartObj>
      </w:sdtPr>
      <w:sdtContent>
        <w:p w:rsidR="006B17B1" w:rsidRDefault="006B17B1">
          <w:pPr>
            <w:pStyle w:val="Nagwekspisutreci"/>
          </w:pPr>
        </w:p>
        <w:p w:rsidR="006B17B1" w:rsidRDefault="006B17B1">
          <w:pPr>
            <w:pStyle w:val="Nagwekspisutreci"/>
          </w:pPr>
        </w:p>
        <w:p w:rsidR="006B17B1" w:rsidRDefault="006B17B1">
          <w:pPr>
            <w:pStyle w:val="Nagwekspisutreci"/>
          </w:pPr>
        </w:p>
        <w:p w:rsidR="006B17B1" w:rsidRDefault="006B17B1">
          <w:pPr>
            <w:pStyle w:val="Nagwekspisutreci"/>
          </w:pPr>
        </w:p>
        <w:p w:rsidR="006B17B1" w:rsidRDefault="006B17B1">
          <w:pPr>
            <w:pStyle w:val="Nagwekspisutreci"/>
          </w:pPr>
        </w:p>
        <w:p w:rsidR="006B17B1" w:rsidRDefault="006B17B1">
          <w:pPr>
            <w:pStyle w:val="Nagwekspisutreci"/>
          </w:pPr>
          <w:r>
            <w:t>Spis treści</w:t>
          </w:r>
        </w:p>
        <w:p w:rsidR="0066685F" w:rsidRDefault="00A35EE6">
          <w:pPr>
            <w:pStyle w:val="Spistreci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6B17B1">
            <w:instrText xml:space="preserve"> TOC \o "1-3" \h \z \u </w:instrText>
          </w:r>
          <w:r>
            <w:fldChar w:fldCharType="separate"/>
          </w:r>
          <w:hyperlink w:anchor="_Toc500343798" w:history="1">
            <w:r w:rsidR="0066685F" w:rsidRPr="009E2CCD">
              <w:rPr>
                <w:rStyle w:val="Hipercze"/>
                <w:noProof/>
              </w:rPr>
              <w:t>1.</w:t>
            </w:r>
            <w:r w:rsidR="0066685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685F" w:rsidRPr="009E2CCD">
              <w:rPr>
                <w:rStyle w:val="Hipercze"/>
                <w:noProof/>
              </w:rPr>
              <w:t>Podstawy prawne dla celów podatkowych</w:t>
            </w:r>
            <w:r w:rsidR="006668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685F">
              <w:rPr>
                <w:noProof/>
                <w:webHidden/>
              </w:rPr>
              <w:instrText xml:space="preserve"> PAGEREF _Toc500343798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685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685F" w:rsidRDefault="00A35EE6">
          <w:pPr>
            <w:pStyle w:val="Spistreci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343799" w:history="1">
            <w:r w:rsidR="0066685F" w:rsidRPr="009E2CCD">
              <w:rPr>
                <w:rStyle w:val="Hipercze"/>
                <w:noProof/>
              </w:rPr>
              <w:t>2.</w:t>
            </w:r>
            <w:r w:rsidR="0066685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685F" w:rsidRPr="009E2CCD">
              <w:rPr>
                <w:rStyle w:val="Hipercze"/>
                <w:noProof/>
              </w:rPr>
              <w:t>Normy techniczne</w:t>
            </w:r>
            <w:r w:rsidR="006668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685F">
              <w:rPr>
                <w:noProof/>
                <w:webHidden/>
              </w:rPr>
              <w:instrText xml:space="preserve"> PAGEREF _Toc500343799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685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685F" w:rsidRDefault="00A35EE6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343800" w:history="1">
            <w:r w:rsidR="0066685F" w:rsidRPr="009E2CCD">
              <w:rPr>
                <w:rStyle w:val="Hipercze"/>
                <w:noProof/>
              </w:rPr>
              <w:t>2.1.Polska Norma PN-70/B-02365 „Powierzchnia budynków. Podział, określanie           i  zasady obmiaru” obowiązywała powszechnie do 1999 roku.</w:t>
            </w:r>
            <w:r w:rsidR="006668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685F">
              <w:rPr>
                <w:noProof/>
                <w:webHidden/>
              </w:rPr>
              <w:instrText xml:space="preserve"> PAGEREF _Toc500343800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685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685F" w:rsidRDefault="00A35EE6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343801" w:history="1">
            <w:r w:rsidR="0066685F" w:rsidRPr="009E2CCD">
              <w:rPr>
                <w:rStyle w:val="Hipercze"/>
                <w:noProof/>
              </w:rPr>
              <w:t>2.2 PN- ISO 9836:1997 „Właściwości użytkowe w budownictwie. Określanie i                   obliczanie wskaźników powierzchniowych  i kubaturowych.”</w:t>
            </w:r>
            <w:r w:rsidR="006668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685F">
              <w:rPr>
                <w:noProof/>
                <w:webHidden/>
              </w:rPr>
              <w:instrText xml:space="preserve"> PAGEREF _Toc500343801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685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685F" w:rsidRDefault="00A35EE6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343802" w:history="1">
            <w:r w:rsidR="0066685F" w:rsidRPr="009E2CCD">
              <w:rPr>
                <w:rStyle w:val="Hipercze"/>
                <w:noProof/>
              </w:rPr>
              <w:t>2.3.  Rozporządzenie w sprawie zakresu i formy projektu budowlanego.</w:t>
            </w:r>
            <w:r w:rsidR="006668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685F">
              <w:rPr>
                <w:noProof/>
                <w:webHidden/>
              </w:rPr>
              <w:instrText xml:space="preserve"> PAGEREF _Toc500343802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685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685F" w:rsidRDefault="00A35EE6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343803" w:history="1">
            <w:r w:rsidR="0066685F" w:rsidRPr="009E2CCD">
              <w:rPr>
                <w:rStyle w:val="Hipercze"/>
                <w:noProof/>
              </w:rPr>
              <w:t>2.4. Ustawa MdM – Mieszkania dla Młodych</w:t>
            </w:r>
            <w:r w:rsidR="006668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685F">
              <w:rPr>
                <w:noProof/>
                <w:webHidden/>
              </w:rPr>
              <w:instrText xml:space="preserve"> PAGEREF _Toc500343803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685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685F" w:rsidRDefault="00A35EE6">
          <w:pPr>
            <w:pStyle w:val="Spistreci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343804" w:history="1">
            <w:r w:rsidR="0066685F" w:rsidRPr="009E2CCD">
              <w:rPr>
                <w:rStyle w:val="Hipercze"/>
                <w:noProof/>
              </w:rPr>
              <w:t>3.</w:t>
            </w:r>
            <w:r w:rsidR="0066685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685F" w:rsidRPr="009E2CCD">
              <w:rPr>
                <w:rStyle w:val="Hipercze"/>
                <w:noProof/>
              </w:rPr>
              <w:t>Problemy warsztatowe</w:t>
            </w:r>
            <w:r w:rsidR="0066685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685F">
              <w:rPr>
                <w:noProof/>
                <w:webHidden/>
              </w:rPr>
              <w:instrText xml:space="preserve"> PAGEREF _Toc500343804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685F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17B1" w:rsidRDefault="00A35EE6">
          <w:r>
            <w:fldChar w:fldCharType="end"/>
          </w:r>
        </w:p>
      </w:sdtContent>
    </w:sdt>
    <w:p w:rsidR="006B17B1" w:rsidRDefault="006B17B1" w:rsidP="006B17B1">
      <w:pPr>
        <w:pStyle w:val="Nagwek1"/>
        <w:ind w:left="360"/>
      </w:pPr>
    </w:p>
    <w:p w:rsidR="006B17B1" w:rsidRDefault="006B17B1" w:rsidP="006B17B1"/>
    <w:p w:rsidR="006B17B1" w:rsidRDefault="006B17B1" w:rsidP="006B17B1"/>
    <w:p w:rsidR="006B17B1" w:rsidRDefault="006B17B1" w:rsidP="006B17B1"/>
    <w:p w:rsidR="006B17B1" w:rsidRDefault="006B17B1" w:rsidP="006B17B1"/>
    <w:p w:rsidR="006B17B1" w:rsidRDefault="006B17B1" w:rsidP="006B17B1"/>
    <w:p w:rsidR="006B17B1" w:rsidRDefault="006B17B1" w:rsidP="006B17B1"/>
    <w:p w:rsidR="006B17B1" w:rsidRDefault="006B17B1" w:rsidP="006B17B1"/>
    <w:p w:rsidR="006B17B1" w:rsidRDefault="006B17B1" w:rsidP="006B17B1"/>
    <w:p w:rsidR="006B17B1" w:rsidRDefault="006B17B1" w:rsidP="006B17B1"/>
    <w:p w:rsidR="006B17B1" w:rsidRDefault="006B17B1" w:rsidP="006B17B1"/>
    <w:p w:rsidR="00082188" w:rsidRDefault="00082188" w:rsidP="006B17B1"/>
    <w:p w:rsidR="00082188" w:rsidRDefault="00082188" w:rsidP="006B17B1"/>
    <w:p w:rsidR="006B17B1" w:rsidRDefault="006B17B1" w:rsidP="006B17B1"/>
    <w:p w:rsidR="006B17B1" w:rsidRDefault="006B17B1" w:rsidP="006B17B1"/>
    <w:p w:rsidR="006B17B1" w:rsidRPr="006B17B1" w:rsidRDefault="006B17B1" w:rsidP="006B17B1"/>
    <w:p w:rsidR="00840FE5" w:rsidRDefault="009C4CFD" w:rsidP="00840FE5">
      <w:pPr>
        <w:pStyle w:val="Nagwek1"/>
        <w:numPr>
          <w:ilvl w:val="0"/>
          <w:numId w:val="1"/>
        </w:numPr>
      </w:pPr>
      <w:bookmarkStart w:id="0" w:name="_Toc500343798"/>
      <w:r>
        <w:lastRenderedPageBreak/>
        <w:t>Podstawy prawne dla celów podatkowych</w:t>
      </w:r>
      <w:bookmarkEnd w:id="0"/>
    </w:p>
    <w:p w:rsidR="009C4CFD" w:rsidRPr="009C4CFD" w:rsidRDefault="009C4CFD" w:rsidP="009C4CFD"/>
    <w:p w:rsidR="00840FE5" w:rsidRDefault="009C4CFD" w:rsidP="00840FE5">
      <w:r w:rsidRPr="000B5555">
        <w:rPr>
          <w:rFonts w:cs="Arial"/>
          <w:sz w:val="20"/>
        </w:rPr>
        <w:t xml:space="preserve">Prawidłowe obliczenie powierzchni użytkowej jest sprawą bardzo ważną. Podstawą opodatkowania podatkiem od </w:t>
      </w:r>
      <w:proofErr w:type="spellStart"/>
      <w:r w:rsidRPr="000B5555">
        <w:rPr>
          <w:rFonts w:cs="Arial"/>
          <w:sz w:val="20"/>
        </w:rPr>
        <w:t>nieruchomości</w:t>
      </w:r>
      <w:proofErr w:type="spellEnd"/>
      <w:r w:rsidRPr="000B5555">
        <w:rPr>
          <w:rFonts w:cs="Arial"/>
          <w:sz w:val="20"/>
        </w:rPr>
        <w:t xml:space="preserve"> jest przecież powierzchnia użytkowa budynków lub ich części. Ponadto wynajmując lub kupując mieszkanie czy dom czynsz lub cena tej </w:t>
      </w:r>
      <w:proofErr w:type="spellStart"/>
      <w:r w:rsidRPr="000B5555">
        <w:rPr>
          <w:rFonts w:cs="Arial"/>
          <w:sz w:val="20"/>
        </w:rPr>
        <w:t>nieruchomości</w:t>
      </w:r>
      <w:proofErr w:type="spellEnd"/>
      <w:r w:rsidRPr="000B5555">
        <w:rPr>
          <w:rFonts w:cs="Arial"/>
          <w:sz w:val="20"/>
        </w:rPr>
        <w:t xml:space="preserve"> jest przecież uzależniona w głównej mierze od powierzchni.</w:t>
      </w:r>
      <w:r w:rsidRPr="000B5555">
        <w:rPr>
          <w:rFonts w:ascii="Times New Roman" w:hAnsi="Times New Roman"/>
          <w:szCs w:val="24"/>
        </w:rPr>
        <w:br/>
      </w:r>
      <w:r w:rsidRPr="000B5555">
        <w:rPr>
          <w:rFonts w:ascii="Times New Roman" w:hAnsi="Times New Roman"/>
          <w:szCs w:val="24"/>
        </w:rPr>
        <w:br/>
      </w:r>
      <w:r w:rsidRPr="000B5555">
        <w:rPr>
          <w:rFonts w:cs="Arial"/>
          <w:sz w:val="20"/>
        </w:rPr>
        <w:t>W trzech ustawach pojęcie powierzchni użytkowej nie jest jednoznacznie określone.</w:t>
      </w:r>
    </w:p>
    <w:p w:rsidR="000957C6" w:rsidRDefault="000957C6"/>
    <w:p w:rsidR="009C4CFD" w:rsidRDefault="009C4CFD">
      <w:pPr>
        <w:rPr>
          <w:rFonts w:cs="Arial"/>
          <w:sz w:val="20"/>
        </w:rPr>
      </w:pPr>
      <w:r w:rsidRPr="000B5555">
        <w:rPr>
          <w:rFonts w:cs="Arial"/>
          <w:b/>
          <w:bCs/>
          <w:sz w:val="20"/>
        </w:rPr>
        <w:t>W ustawie o podatkach i opłatach lokalnych z dnia 12 stycznia 1991 r.</w:t>
      </w:r>
      <w:r w:rsidRPr="000B5555">
        <w:rPr>
          <w:rFonts w:cs="Arial"/>
          <w:sz w:val="20"/>
        </w:rPr>
        <w:t xml:space="preserve"> (tekst jednolity </w:t>
      </w:r>
      <w:proofErr w:type="spellStart"/>
      <w:r w:rsidRPr="000B5555">
        <w:rPr>
          <w:rFonts w:cs="Arial"/>
          <w:sz w:val="20"/>
        </w:rPr>
        <w:t>Dz.U</w:t>
      </w:r>
      <w:proofErr w:type="spellEnd"/>
      <w:r w:rsidRPr="000B5555">
        <w:rPr>
          <w:rFonts w:cs="Arial"/>
          <w:sz w:val="20"/>
        </w:rPr>
        <w:t xml:space="preserve">. z 2002 r. nr 9 poz. 84 z </w:t>
      </w:r>
      <w:proofErr w:type="spellStart"/>
      <w:r w:rsidRPr="000B5555">
        <w:rPr>
          <w:rFonts w:cs="Arial"/>
          <w:sz w:val="20"/>
        </w:rPr>
        <w:t>późn</w:t>
      </w:r>
      <w:proofErr w:type="spellEnd"/>
      <w:r w:rsidRPr="000B5555">
        <w:rPr>
          <w:rFonts w:cs="Arial"/>
          <w:sz w:val="20"/>
        </w:rPr>
        <w:t>. zm.) powierzchnię użytkową budynku lub jego części stanowi powierzchnia mierzona po wewnętrznej długości ścian na wszystkich kondygnacjach z wyjątkiem powierzchni klatek schodowych oraz szybów dźwigowych; za kondygnację uważa się również garaże podziemne, piwnice, sutereny i poddasza użytkowe.</w:t>
      </w:r>
    </w:p>
    <w:p w:rsidR="009C4CFD" w:rsidRDefault="009C4CFD">
      <w:pPr>
        <w:rPr>
          <w:rFonts w:cs="Arial"/>
          <w:sz w:val="20"/>
        </w:rPr>
      </w:pPr>
    </w:p>
    <w:p w:rsidR="009C4CFD" w:rsidRDefault="009C4CFD">
      <w:pPr>
        <w:rPr>
          <w:rFonts w:cs="Arial"/>
          <w:sz w:val="20"/>
        </w:rPr>
      </w:pPr>
      <w:r w:rsidRPr="000B5555">
        <w:rPr>
          <w:rFonts w:cs="Arial"/>
          <w:b/>
          <w:bCs/>
          <w:sz w:val="20"/>
        </w:rPr>
        <w:t>Ustawa o ochronie praw lokatorów, mieszkaniowym zasobie gminy i o zmianie Kodeksu cywilnego z dnia 21 czerwca 2001 r.</w:t>
      </w:r>
      <w:r w:rsidRPr="000B5555">
        <w:rPr>
          <w:rFonts w:cs="Arial"/>
          <w:sz w:val="20"/>
        </w:rPr>
        <w:t xml:space="preserve"> (tekst jednolity </w:t>
      </w:r>
      <w:proofErr w:type="spellStart"/>
      <w:r w:rsidRPr="000B5555">
        <w:rPr>
          <w:rFonts w:cs="Arial"/>
          <w:sz w:val="20"/>
        </w:rPr>
        <w:t>Dz.U</w:t>
      </w:r>
      <w:proofErr w:type="spellEnd"/>
      <w:r w:rsidRPr="000B5555">
        <w:rPr>
          <w:rFonts w:cs="Arial"/>
          <w:sz w:val="20"/>
        </w:rPr>
        <w:t xml:space="preserve">. z 2005 r. nr 31, poz. 266 z </w:t>
      </w:r>
      <w:proofErr w:type="spellStart"/>
      <w:r w:rsidRPr="000B5555">
        <w:rPr>
          <w:rFonts w:cs="Arial"/>
          <w:sz w:val="20"/>
        </w:rPr>
        <w:t>późn</w:t>
      </w:r>
      <w:proofErr w:type="spellEnd"/>
      <w:r w:rsidRPr="000B5555">
        <w:rPr>
          <w:rFonts w:cs="Arial"/>
          <w:sz w:val="20"/>
        </w:rPr>
        <w:t xml:space="preserve">. zm.) do powierzchni użytkowej lokalu zalicza się powierzchnię wszystkich pomieszczeń znajdujących się w lokalu, a w szczególności pokoi, kuchni, spiżarni, przedpokoi, alków, holi, korytarzy, łazienek oraz innych pomieszczeń służących mieszkalnym i gospodarczym potrzebom lokatora, bez względu na ich przeznaczenie i sposób używania; za powierzchnię użytkową lokalu nie uważa się powierzchni balkonów, tarasów, </w:t>
      </w:r>
      <w:proofErr w:type="spellStart"/>
      <w:r w:rsidRPr="000B5555">
        <w:rPr>
          <w:rFonts w:cs="Arial"/>
          <w:sz w:val="20"/>
        </w:rPr>
        <w:t>loggi</w:t>
      </w:r>
      <w:proofErr w:type="spellEnd"/>
      <w:r w:rsidRPr="000B5555">
        <w:rPr>
          <w:rFonts w:cs="Arial"/>
          <w:sz w:val="20"/>
        </w:rPr>
        <w:t>, antresoli, szaf, schowków w ścianach, pralni, suszarni, wózkarni, strychów, piwnic i komórek przeznaczonych do przechowywania opału.</w:t>
      </w:r>
    </w:p>
    <w:p w:rsidR="009C4CFD" w:rsidRDefault="009C4CFD">
      <w:pPr>
        <w:rPr>
          <w:rFonts w:cs="Arial"/>
          <w:sz w:val="20"/>
        </w:rPr>
      </w:pPr>
    </w:p>
    <w:p w:rsidR="009C4CFD" w:rsidRDefault="009C4CFD">
      <w:pPr>
        <w:rPr>
          <w:rFonts w:cs="Arial"/>
          <w:sz w:val="20"/>
        </w:rPr>
      </w:pPr>
      <w:r w:rsidRPr="000B5555">
        <w:rPr>
          <w:rFonts w:cs="Arial"/>
          <w:sz w:val="20"/>
        </w:rPr>
        <w:t xml:space="preserve">Natomiast </w:t>
      </w:r>
      <w:r w:rsidRPr="000B5555">
        <w:rPr>
          <w:rFonts w:cs="Arial"/>
          <w:b/>
          <w:bCs/>
          <w:sz w:val="20"/>
        </w:rPr>
        <w:t>w ustawie o podatku od spadków i darowizn z dnia 28 lipca 1983 r.</w:t>
      </w:r>
      <w:r w:rsidRPr="000B5555">
        <w:rPr>
          <w:rFonts w:cs="Arial"/>
          <w:sz w:val="20"/>
        </w:rPr>
        <w:t xml:space="preserve"> (tekst jednolity </w:t>
      </w:r>
      <w:proofErr w:type="spellStart"/>
      <w:r w:rsidRPr="000B5555">
        <w:rPr>
          <w:rFonts w:cs="Arial"/>
          <w:sz w:val="20"/>
        </w:rPr>
        <w:t>Dz.U</w:t>
      </w:r>
      <w:proofErr w:type="spellEnd"/>
      <w:r w:rsidRPr="000B5555">
        <w:rPr>
          <w:rFonts w:cs="Arial"/>
          <w:sz w:val="20"/>
        </w:rPr>
        <w:t xml:space="preserve"> z 2004 nr 142 poz. 1514 z </w:t>
      </w:r>
      <w:proofErr w:type="spellStart"/>
      <w:r w:rsidRPr="000B5555">
        <w:rPr>
          <w:rFonts w:cs="Arial"/>
          <w:sz w:val="20"/>
        </w:rPr>
        <w:t>późn</w:t>
      </w:r>
      <w:proofErr w:type="spellEnd"/>
      <w:r w:rsidRPr="000B5555">
        <w:rPr>
          <w:rFonts w:cs="Arial"/>
          <w:sz w:val="20"/>
        </w:rPr>
        <w:t>. zm.) za powierzchnię użytkową budynku (lokalu) uważa się powierzchnię mierzoną po wewnętrznej długości ścian pomieszczeń na wszystkich kondygnacjach (podziemnych i naziemnych) z wyjątkiem powierzchni piwnic i klatek schodowych oraz szybów dźwigów.</w:t>
      </w:r>
    </w:p>
    <w:p w:rsidR="009C4CFD" w:rsidRDefault="009C4CFD">
      <w:pPr>
        <w:rPr>
          <w:rFonts w:cs="Arial"/>
          <w:sz w:val="20"/>
        </w:rPr>
      </w:pPr>
    </w:p>
    <w:p w:rsidR="009C4CFD" w:rsidRPr="000B5555" w:rsidRDefault="009C4CFD" w:rsidP="009C4CFD">
      <w:pPr>
        <w:spacing w:after="240" w:line="312" w:lineRule="auto"/>
        <w:rPr>
          <w:rFonts w:ascii="Times New Roman" w:hAnsi="Times New Roman"/>
          <w:szCs w:val="24"/>
        </w:rPr>
      </w:pPr>
      <w:r w:rsidRPr="000B5555">
        <w:rPr>
          <w:rFonts w:cs="Arial"/>
          <w:sz w:val="20"/>
        </w:rPr>
        <w:t xml:space="preserve">Z powyższych uregulowań wynika, że płacąc podatek od </w:t>
      </w:r>
      <w:proofErr w:type="spellStart"/>
      <w:r w:rsidRPr="000B5555">
        <w:rPr>
          <w:rFonts w:cs="Arial"/>
          <w:sz w:val="20"/>
        </w:rPr>
        <w:t>nieruchomości</w:t>
      </w:r>
      <w:proofErr w:type="spellEnd"/>
      <w:r w:rsidRPr="000B5555">
        <w:rPr>
          <w:rFonts w:cs="Arial"/>
          <w:sz w:val="20"/>
        </w:rPr>
        <w:t xml:space="preserve"> do powierzchni użytkowej musimy zaliczyć powierzchnię piwnicy w pozostałych przypadkach powierzchni piwnic nie bierze się pod uwagę.</w:t>
      </w:r>
      <w:r w:rsidRPr="000B5555">
        <w:rPr>
          <w:rFonts w:ascii="Times New Roman" w:hAnsi="Times New Roman"/>
          <w:szCs w:val="24"/>
        </w:rPr>
        <w:br/>
      </w:r>
      <w:r w:rsidRPr="000B5555">
        <w:rPr>
          <w:rFonts w:ascii="Times New Roman" w:hAnsi="Times New Roman"/>
          <w:szCs w:val="24"/>
        </w:rPr>
        <w:br/>
      </w:r>
      <w:r w:rsidRPr="000B5555">
        <w:rPr>
          <w:rFonts w:cs="Arial"/>
          <w:sz w:val="20"/>
        </w:rPr>
        <w:t>Ustawa o ochronie praw lokatorów nakazuje dokonywanie obmiaru powierzchni użytkowej w świetle wyprawionych ścian a więc z tynkami a z pozostałych ustaw nie wynika czy obmiar dokonywać z tynkami czy bez tynków.</w:t>
      </w:r>
    </w:p>
    <w:p w:rsidR="009C4CFD" w:rsidRDefault="009C4CFD" w:rsidP="009C4CFD">
      <w:pPr>
        <w:spacing w:after="240" w:line="312" w:lineRule="auto"/>
        <w:rPr>
          <w:rFonts w:ascii="Times New Roman" w:hAnsi="Times New Roman"/>
          <w:szCs w:val="24"/>
        </w:rPr>
      </w:pPr>
      <w:r w:rsidRPr="000B5555">
        <w:rPr>
          <w:rFonts w:cs="Arial"/>
          <w:sz w:val="20"/>
        </w:rPr>
        <w:t>Na szczęście we wszystkich trzech ustawach powierzchnię pomieszczeń lub ich części oraz części kondygnacji o wysokości w świetle (nie wiadomo z tynkami czy bez tynków, na pewno z tynkami w ustawie o ochronie praw lokatorów) równej lub większej od 2,20 m należy zaliczać do obliczeń w 100%, od 1,40 do 2,20 m - zalicza się do powierzchni użytkowej budynku w 50%, a jeżeli wysokość jest mniejsza niż 1,40 - powierzchnię tą pomija się.</w:t>
      </w:r>
      <w:r w:rsidRPr="000B5555">
        <w:rPr>
          <w:rFonts w:ascii="Times New Roman" w:hAnsi="Times New Roman"/>
          <w:szCs w:val="24"/>
        </w:rPr>
        <w:br/>
      </w:r>
      <w:r w:rsidRPr="000B5555">
        <w:rPr>
          <w:rFonts w:ascii="Times New Roman" w:hAnsi="Times New Roman"/>
          <w:szCs w:val="24"/>
        </w:rPr>
        <w:br/>
      </w:r>
      <w:r w:rsidRPr="000B5555">
        <w:rPr>
          <w:rFonts w:cs="Arial"/>
          <w:sz w:val="20"/>
        </w:rPr>
        <w:t xml:space="preserve">Żeby sprawę jednak skomplikować ustawa o ochronie praw lokatorów nakazuje obliczać powierzchnię użytkową zgodnie z Polską Normą a w pozostałych ustawach nic się o tym nie pisze. </w:t>
      </w:r>
      <w:r w:rsidRPr="000B5555">
        <w:rPr>
          <w:rFonts w:ascii="Times New Roman" w:hAnsi="Times New Roman"/>
          <w:szCs w:val="24"/>
        </w:rPr>
        <w:br/>
      </w:r>
    </w:p>
    <w:p w:rsidR="009C4CFD" w:rsidRPr="000B5555" w:rsidRDefault="009C4CFD" w:rsidP="009C4CFD">
      <w:pPr>
        <w:spacing w:after="240" w:line="312" w:lineRule="auto"/>
        <w:rPr>
          <w:rFonts w:ascii="Times New Roman" w:hAnsi="Times New Roman"/>
          <w:szCs w:val="24"/>
        </w:rPr>
      </w:pPr>
      <w:r w:rsidRPr="000B5555">
        <w:rPr>
          <w:rFonts w:cs="Arial"/>
          <w:sz w:val="20"/>
        </w:rPr>
        <w:t xml:space="preserve">Z powyższych uregulowań wynika, że płacąc podatek od </w:t>
      </w:r>
      <w:proofErr w:type="spellStart"/>
      <w:r w:rsidRPr="000B5555">
        <w:rPr>
          <w:rFonts w:cs="Arial"/>
          <w:sz w:val="20"/>
        </w:rPr>
        <w:t>nieruchomości</w:t>
      </w:r>
      <w:proofErr w:type="spellEnd"/>
      <w:r w:rsidRPr="000B5555">
        <w:rPr>
          <w:rFonts w:cs="Arial"/>
          <w:sz w:val="20"/>
        </w:rPr>
        <w:t xml:space="preserve"> do powierzchni użytkowej musimy zaliczyć powierzchnię piwnicy w pozostałych przypadkach powierzchni piwnic nie bierze się pod uwagę.</w:t>
      </w:r>
      <w:r w:rsidRPr="000B5555">
        <w:rPr>
          <w:rFonts w:ascii="Times New Roman" w:hAnsi="Times New Roman"/>
          <w:szCs w:val="24"/>
        </w:rPr>
        <w:br/>
      </w:r>
      <w:r w:rsidRPr="000B5555">
        <w:rPr>
          <w:rFonts w:ascii="Times New Roman" w:hAnsi="Times New Roman"/>
          <w:szCs w:val="24"/>
        </w:rPr>
        <w:br/>
      </w:r>
      <w:r w:rsidRPr="000B5555">
        <w:rPr>
          <w:rFonts w:cs="Arial"/>
          <w:sz w:val="20"/>
        </w:rPr>
        <w:lastRenderedPageBreak/>
        <w:t>Ustawa o ochronie praw lokatorów nakazuje dokonywanie obmiaru powierzchni użytkowej w świetle wyprawionych ścian a więc z tynkami a z pozostałych ustaw nie wynika czy obmiar dokonywać z tynkami czy bez tynków.</w:t>
      </w:r>
    </w:p>
    <w:p w:rsidR="007D29E4" w:rsidRDefault="009C4CFD" w:rsidP="009C4CFD">
      <w:pPr>
        <w:spacing w:after="240" w:line="312" w:lineRule="auto"/>
        <w:rPr>
          <w:rFonts w:ascii="Times New Roman" w:hAnsi="Times New Roman"/>
          <w:szCs w:val="24"/>
        </w:rPr>
      </w:pPr>
      <w:r w:rsidRPr="000B5555">
        <w:rPr>
          <w:rFonts w:cs="Arial"/>
          <w:sz w:val="20"/>
        </w:rPr>
        <w:t>Na szczęście we wszystkich trzech ustawach powierzchnię pomieszczeń lub ich części oraz części kondygnacji o wysokości w świetle (nie wiadomo z tynkami czy bez tynków, na pewno z tynkami w ustawie o ochronie praw lokatorów) równej lub większej od 2,20 m należy zaliczać do obliczeń w 100%, od 1,40 do 2,20 m - zalicza się do powierzchni użytkowej budynku w 50%, a jeżeli wysokość jest mniejsza niż 1,40 - powierzchnię tą pomija się.</w:t>
      </w:r>
      <w:r w:rsidRPr="000B5555">
        <w:rPr>
          <w:rFonts w:ascii="Times New Roman" w:hAnsi="Times New Roman"/>
          <w:szCs w:val="24"/>
        </w:rPr>
        <w:br/>
      </w:r>
      <w:r w:rsidRPr="000B5555">
        <w:rPr>
          <w:rFonts w:ascii="Times New Roman" w:hAnsi="Times New Roman"/>
          <w:szCs w:val="24"/>
        </w:rPr>
        <w:br/>
      </w:r>
      <w:r w:rsidRPr="000B5555">
        <w:rPr>
          <w:rFonts w:cs="Arial"/>
          <w:sz w:val="20"/>
        </w:rPr>
        <w:t xml:space="preserve">Żeby sprawę jednak skomplikować ustawa o ochronie praw lokatorów nakazuje obliczać powierzchnię użytkową zgodnie z Polską Normą a w pozostałych ustawach nic się o tym nie pisze. </w:t>
      </w:r>
      <w:r w:rsidRPr="000B5555">
        <w:rPr>
          <w:rFonts w:ascii="Times New Roman" w:hAnsi="Times New Roman"/>
          <w:szCs w:val="24"/>
        </w:rPr>
        <w:br/>
      </w:r>
    </w:p>
    <w:p w:rsidR="007D29E4" w:rsidRDefault="007D29E4" w:rsidP="007D29E4">
      <w:pPr>
        <w:pStyle w:val="Nagwek1"/>
        <w:numPr>
          <w:ilvl w:val="0"/>
          <w:numId w:val="1"/>
        </w:numPr>
      </w:pPr>
      <w:bookmarkStart w:id="1" w:name="_Toc500343799"/>
      <w:r>
        <w:t>Normy techniczne</w:t>
      </w:r>
      <w:bookmarkEnd w:id="1"/>
    </w:p>
    <w:p w:rsidR="00E921F8" w:rsidRPr="00894706" w:rsidRDefault="00894706" w:rsidP="00894706">
      <w:pPr>
        <w:pStyle w:val="Nagwek2"/>
      </w:pPr>
      <w:bookmarkStart w:id="2" w:name="_Toc500343800"/>
      <w:r w:rsidRPr="00894706">
        <w:rPr>
          <w:rStyle w:val="Nagwek1Znak"/>
          <w:rFonts w:cstheme="majorBidi"/>
          <w:b/>
          <w:bCs/>
        </w:rPr>
        <w:t>2.1.</w:t>
      </w:r>
      <w:r w:rsidR="009C4CFD" w:rsidRPr="00894706">
        <w:rPr>
          <w:rStyle w:val="Nagwek1Znak"/>
          <w:rFonts w:cstheme="majorBidi"/>
          <w:b/>
          <w:bCs/>
        </w:rPr>
        <w:t xml:space="preserve">Polska Norma PN-70/B-02365 „Powierzchnia budynków. Podział, określanie </w:t>
      </w:r>
      <w:r w:rsidRPr="00894706">
        <w:rPr>
          <w:rStyle w:val="Nagwek1Znak"/>
          <w:rFonts w:cstheme="majorBidi"/>
          <w:b/>
          <w:bCs/>
        </w:rPr>
        <w:t xml:space="preserve">          </w:t>
      </w:r>
      <w:r w:rsidR="009C4CFD" w:rsidRPr="00894706">
        <w:rPr>
          <w:rStyle w:val="Nagwek1Znak"/>
          <w:rFonts w:cstheme="majorBidi"/>
          <w:b/>
          <w:bCs/>
        </w:rPr>
        <w:t>i</w:t>
      </w:r>
      <w:r w:rsidRPr="00894706">
        <w:rPr>
          <w:rStyle w:val="Nagwek1Znak"/>
          <w:rFonts w:cstheme="majorBidi"/>
          <w:b/>
          <w:bCs/>
        </w:rPr>
        <w:t xml:space="preserve"> </w:t>
      </w:r>
      <w:r w:rsidR="009C4CFD" w:rsidRPr="00894706">
        <w:rPr>
          <w:rStyle w:val="Nagwek1Znak"/>
          <w:rFonts w:cstheme="majorBidi"/>
          <w:b/>
          <w:bCs/>
        </w:rPr>
        <w:t xml:space="preserve"> zasady obmiaru” obowiązywała powszechnie do 1999 roku</w:t>
      </w:r>
      <w:r w:rsidR="009C4CFD" w:rsidRPr="00894706">
        <w:t>.</w:t>
      </w:r>
      <w:bookmarkEnd w:id="2"/>
    </w:p>
    <w:p w:rsidR="007D6A01" w:rsidRDefault="007D6A01" w:rsidP="009C4CFD">
      <w:pPr>
        <w:spacing w:after="240" w:line="312" w:lineRule="auto"/>
        <w:rPr>
          <w:rFonts w:cs="Arial"/>
          <w:sz w:val="20"/>
        </w:rPr>
      </w:pPr>
    </w:p>
    <w:p w:rsidR="007D6A01" w:rsidRDefault="007D6A01" w:rsidP="009C4CFD">
      <w:pPr>
        <w:spacing w:after="240" w:line="312" w:lineRule="auto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>
            <wp:extent cx="6485192" cy="2886075"/>
            <wp:effectExtent l="19050" t="0" r="0" b="0"/>
            <wp:docPr id="3" name="Obraz 2" descr="pow.użytk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.użytkow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072" cy="288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1F8" w:rsidRDefault="00E921F8" w:rsidP="009C4CFD">
      <w:pPr>
        <w:spacing w:after="240" w:line="312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>
            <wp:extent cx="5753100" cy="8542858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4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AE1" w:rsidRDefault="00E921F8" w:rsidP="009C4CFD">
      <w:pPr>
        <w:spacing w:after="240" w:line="312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>
            <wp:extent cx="5591175" cy="651306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51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CFD" w:rsidRPr="000B5555">
        <w:rPr>
          <w:rFonts w:ascii="Times New Roman" w:hAnsi="Times New Roman"/>
          <w:szCs w:val="24"/>
        </w:rPr>
        <w:br/>
      </w:r>
    </w:p>
    <w:p w:rsidR="007D6A01" w:rsidRDefault="009C4CFD" w:rsidP="009C4CFD">
      <w:pPr>
        <w:spacing w:after="240" w:line="312" w:lineRule="auto"/>
        <w:rPr>
          <w:rFonts w:cs="Arial"/>
          <w:sz w:val="20"/>
        </w:rPr>
      </w:pPr>
      <w:r w:rsidRPr="000B5555">
        <w:rPr>
          <w:rFonts w:ascii="Times New Roman" w:hAnsi="Times New Roman"/>
          <w:szCs w:val="24"/>
        </w:rPr>
        <w:br/>
      </w:r>
      <w:r w:rsidRPr="000B5555">
        <w:rPr>
          <w:rFonts w:cs="Arial"/>
          <w:sz w:val="20"/>
        </w:rPr>
        <w:t xml:space="preserve">Norma ta została wycofana przez Polski Komitet Normalizacyjny ze zbioru norm po ustanowieniu normy </w:t>
      </w:r>
      <w:r w:rsidRPr="000B5555">
        <w:rPr>
          <w:rFonts w:cs="Arial"/>
          <w:b/>
          <w:bCs/>
          <w:sz w:val="20"/>
        </w:rPr>
        <w:t xml:space="preserve">PN- ISO 9836:1997 „Właściwości użytkowe w budownictwie. Określanie i obliczanie wskaźników powierzchniowych </w:t>
      </w:r>
      <w:r>
        <w:rPr>
          <w:rFonts w:cs="Arial"/>
          <w:b/>
          <w:bCs/>
          <w:sz w:val="20"/>
        </w:rPr>
        <w:t xml:space="preserve">         </w:t>
      </w:r>
      <w:bookmarkStart w:id="3" w:name="_GoBack"/>
      <w:bookmarkEnd w:id="3"/>
      <w:r w:rsidRPr="000B5555">
        <w:rPr>
          <w:rFonts w:cs="Arial"/>
          <w:b/>
          <w:bCs/>
          <w:sz w:val="20"/>
        </w:rPr>
        <w:t>i kubaturowych.”</w:t>
      </w:r>
      <w:r w:rsidRPr="000B5555">
        <w:rPr>
          <w:rFonts w:cs="Arial"/>
          <w:sz w:val="20"/>
        </w:rPr>
        <w:t xml:space="preserve"> </w:t>
      </w:r>
    </w:p>
    <w:p w:rsidR="00C51B6B" w:rsidRDefault="00C51B6B" w:rsidP="009C4CFD">
      <w:pPr>
        <w:spacing w:after="240" w:line="312" w:lineRule="auto"/>
        <w:rPr>
          <w:rFonts w:cs="Arial"/>
          <w:sz w:val="20"/>
        </w:rPr>
      </w:pPr>
    </w:p>
    <w:p w:rsidR="00C51B6B" w:rsidRDefault="00C51B6B" w:rsidP="009C4CFD">
      <w:pPr>
        <w:spacing w:after="240" w:line="312" w:lineRule="auto"/>
        <w:rPr>
          <w:rFonts w:cs="Arial"/>
          <w:sz w:val="20"/>
        </w:rPr>
      </w:pPr>
    </w:p>
    <w:p w:rsidR="00C51B6B" w:rsidRDefault="00C51B6B" w:rsidP="009C4CFD">
      <w:pPr>
        <w:spacing w:after="240" w:line="312" w:lineRule="auto"/>
        <w:rPr>
          <w:rFonts w:cs="Arial"/>
          <w:sz w:val="20"/>
        </w:rPr>
      </w:pPr>
    </w:p>
    <w:p w:rsidR="00C51B6B" w:rsidRPr="00C51B6B" w:rsidRDefault="00894706" w:rsidP="00894706">
      <w:pPr>
        <w:pStyle w:val="Nagwek2"/>
      </w:pPr>
      <w:bookmarkStart w:id="4" w:name="_Toc500343801"/>
      <w:r>
        <w:lastRenderedPageBreak/>
        <w:t xml:space="preserve">2.2 </w:t>
      </w:r>
      <w:r w:rsidR="00C51B6B" w:rsidRPr="00C51B6B">
        <w:t xml:space="preserve">PN- ISO 9836:1997 „Właściwości użytkowe w budownictwie. Określanie i </w:t>
      </w:r>
      <w:r>
        <w:t xml:space="preserve">                  </w:t>
      </w:r>
      <w:r w:rsidR="00C51B6B" w:rsidRPr="00C51B6B">
        <w:t>obliczanie wskaźników powierzchniowych  i kubaturowych.”</w:t>
      </w:r>
      <w:bookmarkEnd w:id="4"/>
    </w:p>
    <w:p w:rsidR="00EA4AE1" w:rsidRDefault="00C51B6B" w:rsidP="009C4CFD">
      <w:pPr>
        <w:spacing w:after="240" w:line="312" w:lineRule="auto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>
            <wp:extent cx="4905375" cy="2218739"/>
            <wp:effectExtent l="19050" t="0" r="9525" b="0"/>
            <wp:docPr id="1" name="Obraz 0" descr="definicja I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inicja IS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21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CFD" w:rsidRPr="000B5555" w:rsidRDefault="007D6A01" w:rsidP="00C51B6B">
      <w:pPr>
        <w:spacing w:after="24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257800" cy="2763938"/>
            <wp:effectExtent l="19050" t="0" r="0" b="0"/>
            <wp:docPr id="7" name="Obraz 6" descr="p.u. I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u. IS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698" cy="276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CFD" w:rsidRPr="000B5555">
        <w:rPr>
          <w:rFonts w:ascii="Times New Roman" w:hAnsi="Times New Roman"/>
          <w:szCs w:val="24"/>
        </w:rPr>
        <w:br/>
      </w:r>
      <w:r w:rsidR="009C4CFD" w:rsidRPr="000B5555">
        <w:rPr>
          <w:rFonts w:ascii="Times New Roman" w:hAnsi="Times New Roman"/>
          <w:szCs w:val="24"/>
        </w:rPr>
        <w:br/>
      </w:r>
      <w:r w:rsidR="009C4CFD" w:rsidRPr="000B5555">
        <w:rPr>
          <w:rFonts w:cs="Arial"/>
          <w:sz w:val="20"/>
        </w:rPr>
        <w:t xml:space="preserve">Z resortowych ustaleń wynika jednak, że Polska Norma PN-ISO 9836 jest normą do dobrowolnego stosowania w zakresie dotyczącym obliczeń powierzchni użytkowej lokalu. Przy wyborze sposobu korzystania z norm PN-ISO 9836 i PN-70/B-02365 Ministerstwo Rozwoju Regionalnego i Budownictwa w piśmie wewnętrznym skierowanym do jednego z przedsiębiorstw z dnia 4 sierpnia 2000 roku zaleca przyjęcie następujących zasad: </w:t>
      </w:r>
    </w:p>
    <w:p w:rsidR="009C4CFD" w:rsidRPr="000B5555" w:rsidRDefault="009C4CFD" w:rsidP="00C51B6B">
      <w:pPr>
        <w:numPr>
          <w:ilvl w:val="0"/>
          <w:numId w:val="12"/>
        </w:numPr>
        <w:spacing w:before="100" w:beforeAutospacing="1" w:after="100" w:afterAutospacing="1"/>
        <w:rPr>
          <w:rFonts w:ascii="Times New Roman" w:hAnsi="Times New Roman"/>
          <w:szCs w:val="24"/>
        </w:rPr>
      </w:pPr>
      <w:r w:rsidRPr="000B5555">
        <w:rPr>
          <w:rFonts w:cs="Arial"/>
          <w:sz w:val="20"/>
        </w:rPr>
        <w:t>ustalenia normy PN-ISO 9836 mogą być stosowane w projektach budowlanych budynków nowo wznoszonych, odbudowywanych, a także nadbudowywanych i rozbudowywanych, jeżeli zakres nadbudowy i rozbudowy obejmuje wyodrębnioną funkcjonalnie część budynku,</w:t>
      </w:r>
      <w:r w:rsidRPr="000B5555">
        <w:rPr>
          <w:rFonts w:ascii="Times New Roman" w:hAnsi="Times New Roman"/>
          <w:szCs w:val="24"/>
        </w:rPr>
        <w:t xml:space="preserve"> </w:t>
      </w:r>
    </w:p>
    <w:p w:rsidR="009C4CFD" w:rsidRPr="000B5555" w:rsidRDefault="009C4CFD" w:rsidP="00C51B6B">
      <w:pPr>
        <w:numPr>
          <w:ilvl w:val="0"/>
          <w:numId w:val="12"/>
        </w:numPr>
        <w:spacing w:before="100" w:beforeAutospacing="1" w:after="100" w:afterAutospacing="1"/>
        <w:rPr>
          <w:rFonts w:ascii="Times New Roman" w:hAnsi="Times New Roman"/>
          <w:szCs w:val="24"/>
        </w:rPr>
      </w:pPr>
      <w:r w:rsidRPr="000B5555">
        <w:rPr>
          <w:rFonts w:cs="Arial"/>
          <w:sz w:val="20"/>
        </w:rPr>
        <w:t>w projektach nadbudowy i rozbudowy części budynku nie wyodrębnionych funkcjonalnie oraz w projektach przebudowy, modernizacji lub zmiany przeznaczenia części budynku istniejącego należy stosować takie same zasady obliczania (np. wg PN-70/B-02365) jakie były przyjęte w projekcie budowlanym, na podstawie którego został wzniesiony budynek.</w:t>
      </w:r>
      <w:r w:rsidRPr="000B5555">
        <w:rPr>
          <w:rFonts w:ascii="Times New Roman" w:hAnsi="Times New Roman"/>
          <w:szCs w:val="24"/>
        </w:rPr>
        <w:t xml:space="preserve"> </w:t>
      </w:r>
    </w:p>
    <w:p w:rsidR="00C51B6B" w:rsidRDefault="00C51B6B" w:rsidP="009C4CFD">
      <w:pPr>
        <w:spacing w:after="240" w:line="312" w:lineRule="auto"/>
        <w:rPr>
          <w:rFonts w:cs="Arial"/>
          <w:b/>
          <w:szCs w:val="24"/>
        </w:rPr>
      </w:pPr>
    </w:p>
    <w:p w:rsidR="00C51B6B" w:rsidRDefault="006C12F2" w:rsidP="009C4CFD">
      <w:pPr>
        <w:spacing w:after="240" w:line="312" w:lineRule="auto"/>
        <w:rPr>
          <w:rFonts w:cs="Arial"/>
          <w:b/>
          <w:szCs w:val="24"/>
        </w:rPr>
      </w:pPr>
      <w:r>
        <w:rPr>
          <w:rFonts w:cs="Arial"/>
          <w:b/>
          <w:noProof/>
          <w:szCs w:val="24"/>
        </w:rPr>
        <w:lastRenderedPageBreak/>
        <w:drawing>
          <wp:inline distT="0" distB="0" distL="0" distR="0">
            <wp:extent cx="5762625" cy="8321553"/>
            <wp:effectExtent l="19050" t="0" r="9525" b="0"/>
            <wp:docPr id="6" name="Obraz 5" descr="tabela stosow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a stosowania.jpg"/>
                    <pic:cNvPicPr/>
                  </pic:nvPicPr>
                  <pic:blipFill>
                    <a:blip r:embed="rId13" cstate="print"/>
                    <a:srcRect r="5272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32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6B" w:rsidRDefault="006C12F2" w:rsidP="009C4CFD">
      <w:pPr>
        <w:spacing w:after="240" w:line="312" w:lineRule="auto"/>
        <w:rPr>
          <w:rFonts w:cs="Arial"/>
          <w:b/>
          <w:szCs w:val="24"/>
        </w:rPr>
      </w:pPr>
      <w:r>
        <w:rPr>
          <w:rFonts w:cs="Arial"/>
          <w:b/>
          <w:noProof/>
          <w:szCs w:val="24"/>
        </w:rPr>
        <w:lastRenderedPageBreak/>
        <w:drawing>
          <wp:inline distT="0" distB="0" distL="0" distR="0">
            <wp:extent cx="5695950" cy="7588475"/>
            <wp:effectExtent l="19050" t="0" r="0" b="0"/>
            <wp:docPr id="8" name="Obraz 7" descr="tabela stosow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a stosowania.jpg"/>
                    <pic:cNvPicPr/>
                  </pic:nvPicPr>
                  <pic:blipFill>
                    <a:blip r:embed="rId13" cstate="print"/>
                    <a:srcRect l="4876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58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706" w:rsidRDefault="00894706" w:rsidP="009C4CFD">
      <w:pPr>
        <w:spacing w:after="240" w:line="312" w:lineRule="auto"/>
        <w:rPr>
          <w:rFonts w:cs="Arial"/>
          <w:b/>
          <w:szCs w:val="24"/>
        </w:rPr>
      </w:pPr>
      <w:r>
        <w:rPr>
          <w:rFonts w:cs="Arial"/>
          <w:b/>
          <w:noProof/>
          <w:szCs w:val="24"/>
        </w:rPr>
        <w:lastRenderedPageBreak/>
        <w:drawing>
          <wp:inline distT="0" distB="0" distL="0" distR="0">
            <wp:extent cx="5324475" cy="3815131"/>
            <wp:effectExtent l="19050" t="0" r="9525" b="0"/>
            <wp:docPr id="9" name="Obraz 8" descr="tabela stosowania - 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a stosowania - cd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519" cy="381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CFD" w:rsidRDefault="009C4CFD" w:rsidP="009C4CFD">
      <w:pPr>
        <w:spacing w:after="240" w:line="312" w:lineRule="auto"/>
        <w:rPr>
          <w:rFonts w:cs="Arial"/>
          <w:b/>
          <w:szCs w:val="24"/>
        </w:rPr>
      </w:pPr>
      <w:r w:rsidRPr="00C51B6B">
        <w:rPr>
          <w:rFonts w:cs="Arial"/>
          <w:b/>
          <w:szCs w:val="24"/>
        </w:rPr>
        <w:t>Podstawowe różnice pomiędzy normami to:</w:t>
      </w:r>
    </w:p>
    <w:p w:rsidR="00894706" w:rsidRPr="000B5555" w:rsidRDefault="00894706" w:rsidP="00894706">
      <w:pPr>
        <w:numPr>
          <w:ilvl w:val="0"/>
          <w:numId w:val="13"/>
        </w:numPr>
        <w:spacing w:before="100" w:beforeAutospacing="1" w:after="100" w:afterAutospacing="1"/>
        <w:rPr>
          <w:rFonts w:ascii="Times New Roman" w:hAnsi="Times New Roman"/>
          <w:szCs w:val="24"/>
        </w:rPr>
      </w:pPr>
      <w:r w:rsidRPr="000B5555">
        <w:rPr>
          <w:rFonts w:cs="Arial"/>
          <w:sz w:val="20"/>
        </w:rPr>
        <w:t>obmiar według PN-70/B-02365 wykonuje się na poziomie 1 m nad podłogą i w stanie surowym (tzn. bez tynków i okładzin), natomiast wg PN-ISO 9836 na poziomie podłogi i w stanie całkowicie wykończonym,</w:t>
      </w:r>
      <w:r w:rsidRPr="000B5555">
        <w:rPr>
          <w:rFonts w:ascii="Times New Roman" w:hAnsi="Times New Roman"/>
          <w:szCs w:val="24"/>
        </w:rPr>
        <w:t xml:space="preserve"> </w:t>
      </w:r>
    </w:p>
    <w:p w:rsidR="00894706" w:rsidRPr="000B5555" w:rsidRDefault="00894706" w:rsidP="00894706">
      <w:pPr>
        <w:numPr>
          <w:ilvl w:val="0"/>
          <w:numId w:val="13"/>
        </w:numPr>
        <w:spacing w:before="100" w:beforeAutospacing="1" w:after="100" w:afterAutospacing="1"/>
        <w:rPr>
          <w:rFonts w:ascii="Times New Roman" w:hAnsi="Times New Roman"/>
          <w:szCs w:val="24"/>
        </w:rPr>
      </w:pPr>
      <w:r w:rsidRPr="000B5555">
        <w:rPr>
          <w:rFonts w:cs="Arial"/>
          <w:sz w:val="20"/>
        </w:rPr>
        <w:t xml:space="preserve">wg PN-70/B-02365 wnęki w ścianach o powierzchni powyżej 0,1 </w:t>
      </w:r>
      <w:proofErr w:type="spellStart"/>
      <w:r w:rsidRPr="000B5555">
        <w:rPr>
          <w:rFonts w:cs="Arial"/>
          <w:sz w:val="20"/>
        </w:rPr>
        <w:t>mkw</w:t>
      </w:r>
      <w:proofErr w:type="spellEnd"/>
      <w:r w:rsidRPr="000B5555">
        <w:rPr>
          <w:rFonts w:cs="Arial"/>
          <w:sz w:val="20"/>
        </w:rPr>
        <w:t xml:space="preserve"> dolicza się do powierzchni pomieszczenia, natomiast wg PN-ISO 9836 - nie dolicza się,</w:t>
      </w:r>
      <w:r w:rsidRPr="000B5555">
        <w:rPr>
          <w:rFonts w:ascii="Times New Roman" w:hAnsi="Times New Roman"/>
          <w:szCs w:val="24"/>
        </w:rPr>
        <w:t xml:space="preserve"> </w:t>
      </w:r>
    </w:p>
    <w:p w:rsidR="00894706" w:rsidRPr="000B5555" w:rsidRDefault="00894706" w:rsidP="00894706">
      <w:pPr>
        <w:numPr>
          <w:ilvl w:val="0"/>
          <w:numId w:val="13"/>
        </w:numPr>
        <w:spacing w:before="100" w:beforeAutospacing="1" w:after="100" w:afterAutospacing="1"/>
        <w:rPr>
          <w:rFonts w:ascii="Times New Roman" w:hAnsi="Times New Roman"/>
          <w:szCs w:val="24"/>
        </w:rPr>
      </w:pPr>
      <w:r w:rsidRPr="000B5555">
        <w:rPr>
          <w:rFonts w:cs="Arial"/>
          <w:sz w:val="20"/>
        </w:rPr>
        <w:t>powierzchnię ze skośnym sufitem: według PN-70/B-02365 oblicza się zależnie od wysokości - o wysokości pow. 2,20 m i większej liczy się w 100%, o wysokości od 1,40 m do 2,20 m liczy się w 50%, poniżej 1,4 m nie wlicza się; natomiast według PN-ISO 9836 liczy się w całości zgodnie z powierzchnią podłogi, ale dzieli się na dwie części: część o wysokości 1,9 m i więcej oraz na część o wysokości poniżej 1,9 m, którą można zaliczyć wyłącznie do powierzchni pomocniczej,</w:t>
      </w:r>
      <w:r w:rsidRPr="000B5555">
        <w:rPr>
          <w:rFonts w:ascii="Times New Roman" w:hAnsi="Times New Roman"/>
          <w:szCs w:val="24"/>
        </w:rPr>
        <w:t xml:space="preserve"> </w:t>
      </w:r>
    </w:p>
    <w:p w:rsidR="00894706" w:rsidRPr="000B5555" w:rsidRDefault="00894706" w:rsidP="00894706">
      <w:pPr>
        <w:numPr>
          <w:ilvl w:val="0"/>
          <w:numId w:val="13"/>
        </w:numPr>
        <w:spacing w:before="100" w:beforeAutospacing="1" w:after="100" w:afterAutospacing="1"/>
        <w:rPr>
          <w:rFonts w:ascii="Times New Roman" w:hAnsi="Times New Roman"/>
          <w:szCs w:val="24"/>
        </w:rPr>
      </w:pPr>
      <w:r w:rsidRPr="000B5555">
        <w:rPr>
          <w:rFonts w:cs="Arial"/>
          <w:sz w:val="20"/>
        </w:rPr>
        <w:t>powierzchnie zewnętrzne nie zamknięte ze wszystkich stron, dostępne z danego pomieszczenia (balkony, loggie, tarasy itp.) według PN-70/B-02365 nie wlicza się do powierzchni pomieszczenia (ani mieszkania ani lokalu użytkowego), natomiast według PN-ISO 9836 dolicza się do powierzchni pomieszczenia (mieszkania, lokalu użytkowego), wykazując oddzielnie: powierzchnie nie nakryte (balkony, tarasy) i powierzchnie nakryte (loggie).</w:t>
      </w:r>
      <w:r w:rsidRPr="000B5555">
        <w:rPr>
          <w:rFonts w:ascii="Times New Roman" w:hAnsi="Times New Roman"/>
          <w:szCs w:val="24"/>
        </w:rPr>
        <w:t xml:space="preserve"> </w:t>
      </w:r>
    </w:p>
    <w:p w:rsidR="00894706" w:rsidRDefault="00894706" w:rsidP="009C4CFD">
      <w:pPr>
        <w:spacing w:after="240" w:line="312" w:lineRule="auto"/>
        <w:rPr>
          <w:rFonts w:cs="Arial"/>
          <w:b/>
          <w:szCs w:val="24"/>
        </w:rPr>
      </w:pPr>
    </w:p>
    <w:p w:rsidR="00C51B6B" w:rsidRPr="00C51B6B" w:rsidRDefault="00C51B6B" w:rsidP="009C4CFD">
      <w:pPr>
        <w:spacing w:after="240" w:line="312" w:lineRule="au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w:lastRenderedPageBreak/>
        <w:drawing>
          <wp:inline distT="0" distB="0" distL="0" distR="0">
            <wp:extent cx="4370832" cy="6231636"/>
            <wp:effectExtent l="19050" t="0" r="0" b="0"/>
            <wp:docPr id="5" name="Obraz 4" descr="tabel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a 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832" cy="623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AE1" w:rsidRDefault="00EA4AE1" w:rsidP="009C4CFD">
      <w:pPr>
        <w:spacing w:line="312" w:lineRule="auto"/>
        <w:rPr>
          <w:rFonts w:cs="Arial"/>
          <w:sz w:val="20"/>
        </w:rPr>
      </w:pPr>
    </w:p>
    <w:p w:rsidR="009C4CFD" w:rsidRDefault="009C4CFD">
      <w:pPr>
        <w:rPr>
          <w:rFonts w:ascii="Times New Roman" w:hAnsi="Times New Roman"/>
          <w:szCs w:val="24"/>
        </w:rPr>
      </w:pPr>
    </w:p>
    <w:p w:rsidR="00894706" w:rsidRDefault="00894706" w:rsidP="00894706">
      <w:pPr>
        <w:pStyle w:val="Nagwek2"/>
      </w:pPr>
      <w:bookmarkStart w:id="5" w:name="_Toc500343802"/>
      <w:r>
        <w:t>2.3.  Rozporządzenie w sprawie zakresu i formy projektu budowlanego.</w:t>
      </w:r>
      <w:bookmarkEnd w:id="5"/>
    </w:p>
    <w:p w:rsidR="00894706" w:rsidRDefault="00894706" w:rsidP="00894706"/>
    <w:p w:rsidR="00894706" w:rsidRPr="00894706" w:rsidRDefault="00894706" w:rsidP="00894706">
      <w:r>
        <w:rPr>
          <w:noProof/>
        </w:rPr>
        <w:drawing>
          <wp:inline distT="0" distB="0" distL="0" distR="0">
            <wp:extent cx="5760720" cy="1372537"/>
            <wp:effectExtent l="19050" t="0" r="0" b="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7C6" w:rsidRDefault="000957C6" w:rsidP="000957C6">
      <w:pPr>
        <w:shd w:val="clear" w:color="auto" w:fill="FFFFFF"/>
        <w:rPr>
          <w:rFonts w:ascii="Open Sans" w:hAnsi="Open Sans" w:cs="Open Sans"/>
          <w:color w:val="2C2C2C"/>
          <w:sz w:val="26"/>
          <w:szCs w:val="26"/>
        </w:rPr>
      </w:pPr>
      <w:r w:rsidRPr="00945BD0">
        <w:rPr>
          <w:rFonts w:ascii="Open Sans" w:hAnsi="Open Sans" w:cs="Open Sans"/>
          <w:color w:val="2C2C2C"/>
          <w:sz w:val="26"/>
          <w:szCs w:val="26"/>
        </w:rPr>
        <w:t xml:space="preserve"> </w:t>
      </w:r>
    </w:p>
    <w:p w:rsidR="00894706" w:rsidRPr="00945BD0" w:rsidRDefault="00A35EE6" w:rsidP="00894706"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250.15pt;margin-top:113.65pt;width:9.75pt;height:93.75pt;flip:x;z-index:251662336" o:connectortype="straight" strokecolor="#0070c0">
            <v:stroke endarrow="block"/>
          </v:shape>
        </w:pict>
      </w:r>
      <w:r>
        <w:rPr>
          <w:noProof/>
        </w:rPr>
        <w:pict>
          <v:roundrect id="_x0000_s1028" style="position:absolute;margin-left:10.9pt;margin-top:118.9pt;width:450pt;height:68.25pt;z-index:251660288" arcsize="10923f" filled="f" strokecolor="red"/>
        </w:pict>
      </w:r>
      <w:r>
        <w:rPr>
          <w:noProof/>
        </w:rPr>
        <w:pict>
          <v:shape id="_x0000_s1027" type="#_x0000_t32" style="position:absolute;margin-left:22.15pt;margin-top:113.65pt;width:251.25pt;height:0;z-index:251659264" o:connectortype="straight" strokecolor="red"/>
        </w:pict>
      </w:r>
      <w:r>
        <w:rPr>
          <w:noProof/>
        </w:rPr>
        <w:pict>
          <v:shape id="_x0000_s1026" type="#_x0000_t32" style="position:absolute;margin-left:307.15pt;margin-top:101.65pt;width:132pt;height:.75pt;z-index:251658240" o:connectortype="straight" strokecolor="red"/>
        </w:pict>
      </w:r>
      <w:r w:rsidR="00894706">
        <w:rPr>
          <w:noProof/>
        </w:rPr>
        <w:drawing>
          <wp:inline distT="0" distB="0" distL="0" distR="0">
            <wp:extent cx="5760720" cy="2398999"/>
            <wp:effectExtent l="19050" t="0" r="0" b="0"/>
            <wp:docPr id="1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7C6" w:rsidRDefault="000957C6" w:rsidP="000957C6">
      <w:pPr>
        <w:rPr>
          <w:sz w:val="22"/>
          <w:szCs w:val="22"/>
        </w:rPr>
      </w:pPr>
    </w:p>
    <w:p w:rsidR="00E06CE8" w:rsidRDefault="00A35EE6" w:rsidP="000957C6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032" type="#_x0000_t32" style="position:absolute;margin-left:194.65pt;margin-top:39.6pt;width:51.75pt;height:318.75pt;flip:x;z-index:251664384" o:connectortype="straight" strokecolor="#0070c0">
            <v:stroke endarrow="block"/>
          </v:shape>
        </w:pict>
      </w:r>
      <w:r>
        <w:rPr>
          <w:noProof/>
          <w:sz w:val="22"/>
          <w:szCs w:val="22"/>
        </w:rPr>
        <w:pict>
          <v:rect id="_x0000_s1029" style="position:absolute;margin-left:.4pt;margin-top:1.35pt;width:454.5pt;height:38.25pt;z-index:251661312" filled="f" strokecolor="#0070c0" strokeweight="2.25pt"/>
        </w:pict>
      </w:r>
      <w:r w:rsidR="00E06CE8">
        <w:rPr>
          <w:noProof/>
          <w:sz w:val="22"/>
          <w:szCs w:val="22"/>
        </w:rPr>
        <w:drawing>
          <wp:inline distT="0" distB="0" distL="0" distR="0">
            <wp:extent cx="5760720" cy="515965"/>
            <wp:effectExtent l="19050" t="0" r="0" b="0"/>
            <wp:docPr id="1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CE8" w:rsidRDefault="00E06CE8" w:rsidP="000957C6">
      <w:pPr>
        <w:rPr>
          <w:sz w:val="22"/>
          <w:szCs w:val="22"/>
        </w:rPr>
      </w:pPr>
    </w:p>
    <w:p w:rsidR="00E06CE8" w:rsidRDefault="00A35EE6" w:rsidP="000957C6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rect id="_x0000_s1031" style="position:absolute;margin-left:10.9pt;margin-top:305.1pt;width:419.25pt;height:30pt;z-index:251663360" filled="f" strokecolor="#0070c0" strokeweight="2.25pt"/>
        </w:pict>
      </w:r>
      <w:r w:rsidR="00E06CE8">
        <w:rPr>
          <w:noProof/>
          <w:sz w:val="22"/>
          <w:szCs w:val="22"/>
        </w:rPr>
        <w:drawing>
          <wp:inline distT="0" distB="0" distL="0" distR="0">
            <wp:extent cx="5715000" cy="4324350"/>
            <wp:effectExtent l="19050" t="0" r="0" b="0"/>
            <wp:docPr id="1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CE8" w:rsidRDefault="00E06CE8" w:rsidP="000957C6">
      <w:pPr>
        <w:rPr>
          <w:sz w:val="22"/>
          <w:szCs w:val="22"/>
        </w:rPr>
      </w:pPr>
    </w:p>
    <w:p w:rsidR="00E06CE8" w:rsidRDefault="00E06CE8" w:rsidP="000957C6">
      <w:pPr>
        <w:rPr>
          <w:sz w:val="22"/>
          <w:szCs w:val="22"/>
        </w:rPr>
      </w:pPr>
    </w:p>
    <w:p w:rsidR="005A5B2E" w:rsidRDefault="005A5B2E" w:rsidP="000957C6">
      <w:pPr>
        <w:rPr>
          <w:sz w:val="22"/>
          <w:szCs w:val="22"/>
        </w:rPr>
      </w:pPr>
    </w:p>
    <w:p w:rsidR="005A5B2E" w:rsidRDefault="005A5B2E" w:rsidP="000957C6">
      <w:pPr>
        <w:rPr>
          <w:sz w:val="22"/>
          <w:szCs w:val="22"/>
        </w:rPr>
      </w:pPr>
    </w:p>
    <w:p w:rsidR="005A5B2E" w:rsidRDefault="005A5B2E" w:rsidP="000957C6">
      <w:pPr>
        <w:rPr>
          <w:sz w:val="22"/>
          <w:szCs w:val="22"/>
        </w:rPr>
      </w:pPr>
    </w:p>
    <w:p w:rsidR="005A5B2E" w:rsidRDefault="005A5B2E" w:rsidP="000957C6">
      <w:pPr>
        <w:rPr>
          <w:sz w:val="22"/>
          <w:szCs w:val="22"/>
        </w:rPr>
      </w:pPr>
    </w:p>
    <w:p w:rsidR="00E06CE8" w:rsidRDefault="00E06CE8" w:rsidP="00E06CE8">
      <w:pPr>
        <w:pStyle w:val="Nagwek2"/>
      </w:pPr>
      <w:bookmarkStart w:id="6" w:name="_Toc500343803"/>
      <w:r>
        <w:lastRenderedPageBreak/>
        <w:t xml:space="preserve">2.4. </w:t>
      </w:r>
      <w:r w:rsidR="005A5B2E">
        <w:t xml:space="preserve">Ustawa </w:t>
      </w:r>
      <w:proofErr w:type="spellStart"/>
      <w:r w:rsidR="005A5B2E">
        <w:t>MdM</w:t>
      </w:r>
      <w:proofErr w:type="spellEnd"/>
      <w:r w:rsidR="005A5B2E">
        <w:t xml:space="preserve"> – Mieszkania dla Młodych</w:t>
      </w:r>
      <w:bookmarkEnd w:id="6"/>
    </w:p>
    <w:p w:rsidR="005A5B2E" w:rsidRDefault="005A5B2E" w:rsidP="005A5B2E"/>
    <w:p w:rsidR="005A5B2E" w:rsidRDefault="005A5B2E" w:rsidP="005A5B2E">
      <w:r>
        <w:rPr>
          <w:noProof/>
        </w:rPr>
        <w:drawing>
          <wp:inline distT="0" distB="0" distL="0" distR="0">
            <wp:extent cx="5753100" cy="7751830"/>
            <wp:effectExtent l="19050" t="0" r="0" b="0"/>
            <wp:docPr id="1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5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2E" w:rsidRDefault="005A5B2E" w:rsidP="005A5B2E"/>
    <w:p w:rsidR="005A5B2E" w:rsidRPr="005A5B2E" w:rsidRDefault="005A5B2E" w:rsidP="005A5B2E">
      <w:r>
        <w:rPr>
          <w:noProof/>
        </w:rPr>
        <w:lastRenderedPageBreak/>
        <w:drawing>
          <wp:inline distT="0" distB="0" distL="0" distR="0">
            <wp:extent cx="5762625" cy="8331342"/>
            <wp:effectExtent l="1905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3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2E" w:rsidRDefault="005A5B2E" w:rsidP="005A5B2E">
      <w:pPr>
        <w:pStyle w:val="Nagwek1"/>
        <w:ind w:left="360"/>
      </w:pPr>
      <w:r>
        <w:rPr>
          <w:b w:val="0"/>
          <w:bCs w:val="0"/>
          <w:noProof/>
        </w:rPr>
        <w:lastRenderedPageBreak/>
        <w:drawing>
          <wp:inline distT="0" distB="0" distL="0" distR="0">
            <wp:extent cx="5200650" cy="7602855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60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2E" w:rsidRDefault="005A5B2E" w:rsidP="005A5B2E"/>
    <w:p w:rsidR="005A5B2E" w:rsidRDefault="005A5B2E" w:rsidP="005A5B2E"/>
    <w:p w:rsidR="005A5B2E" w:rsidRDefault="005A5B2E" w:rsidP="005A5B2E">
      <w:r>
        <w:rPr>
          <w:noProof/>
        </w:rPr>
        <w:lastRenderedPageBreak/>
        <w:drawing>
          <wp:inline distT="0" distB="0" distL="0" distR="0">
            <wp:extent cx="5505450" cy="8186591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18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2E" w:rsidRDefault="005A5B2E" w:rsidP="005A5B2E"/>
    <w:p w:rsidR="005A5B2E" w:rsidRDefault="005A5B2E" w:rsidP="000957C6">
      <w:pPr>
        <w:pStyle w:val="Nagwek1"/>
        <w:numPr>
          <w:ilvl w:val="0"/>
          <w:numId w:val="1"/>
        </w:numPr>
      </w:pPr>
      <w:bookmarkStart w:id="7" w:name="_Toc500343804"/>
      <w:r>
        <w:lastRenderedPageBreak/>
        <w:t>Problemy warsztatowe</w:t>
      </w:r>
      <w:bookmarkEnd w:id="7"/>
    </w:p>
    <w:p w:rsidR="0066685F" w:rsidRPr="00F21322" w:rsidRDefault="00F21322" w:rsidP="00F21322">
      <w:r>
        <w:t>(odpowiedzi w nawiasach są dyskusyjne i nie są miarodajne)</w:t>
      </w:r>
    </w:p>
    <w:p w:rsidR="005A5B2E" w:rsidRPr="005A5B2E" w:rsidRDefault="005A5B2E" w:rsidP="005A5B2E"/>
    <w:p w:rsidR="005A5B2E" w:rsidRDefault="00BF4062" w:rsidP="005A5B2E">
      <w:pPr>
        <w:rPr>
          <w:b/>
        </w:rPr>
      </w:pPr>
      <w:r w:rsidRPr="00BF4062">
        <w:rPr>
          <w:b/>
        </w:rPr>
        <w:t>Jakie normy stosujemy do określenia powierzchni u</w:t>
      </w:r>
      <w:r>
        <w:rPr>
          <w:b/>
        </w:rPr>
        <w:t>ż</w:t>
      </w:r>
      <w:r w:rsidRPr="00BF4062">
        <w:rPr>
          <w:b/>
        </w:rPr>
        <w:t xml:space="preserve">ytkowej? </w:t>
      </w:r>
    </w:p>
    <w:p w:rsidR="00BF4062" w:rsidRPr="00BF4062" w:rsidRDefault="00BF4062" w:rsidP="005A5B2E">
      <w:r>
        <w:t>(proponuję stosować normy techniczne)</w:t>
      </w:r>
    </w:p>
    <w:p w:rsidR="00BF4062" w:rsidRPr="00BF4062" w:rsidRDefault="00BF4062" w:rsidP="005A5B2E">
      <w:pPr>
        <w:rPr>
          <w:b/>
        </w:rPr>
      </w:pPr>
    </w:p>
    <w:p w:rsidR="00BF4062" w:rsidRDefault="005A5B2E" w:rsidP="005A5B2E">
      <w:pPr>
        <w:rPr>
          <w:b/>
        </w:rPr>
      </w:pPr>
      <w:r w:rsidRPr="005A5B2E">
        <w:rPr>
          <w:b/>
        </w:rPr>
        <w:t>Jaka powierzchnia użytkowa jest uwidoczniona w aktach notarialnych ?</w:t>
      </w:r>
    </w:p>
    <w:p w:rsidR="00DB7613" w:rsidRDefault="00BF4062" w:rsidP="005A5B2E">
      <w:r>
        <w:t>( w zależności od wieku budynku</w:t>
      </w:r>
      <w:r w:rsidR="00DB7613">
        <w:t xml:space="preserve"> =&gt; ważne jest jak </w:t>
      </w:r>
      <w:proofErr w:type="spellStart"/>
      <w:r w:rsidR="00DB7613">
        <w:t>p.u</w:t>
      </w:r>
      <w:proofErr w:type="spellEnd"/>
      <w:r w:rsidR="00DB7613">
        <w:t>. było określane w dokumentacji ?)</w:t>
      </w:r>
    </w:p>
    <w:p w:rsidR="00DB7613" w:rsidRDefault="00DB7613" w:rsidP="005A5B2E"/>
    <w:p w:rsidR="005A5B2E" w:rsidRDefault="00DB7613" w:rsidP="005A5B2E">
      <w:pPr>
        <w:rPr>
          <w:b/>
        </w:rPr>
      </w:pPr>
      <w:r w:rsidRPr="00DB7613">
        <w:rPr>
          <w:b/>
        </w:rPr>
        <w:t xml:space="preserve">Jak </w:t>
      </w:r>
      <w:proofErr w:type="spellStart"/>
      <w:r w:rsidRPr="00DB7613">
        <w:rPr>
          <w:b/>
        </w:rPr>
        <w:t>okreslić</w:t>
      </w:r>
      <w:proofErr w:type="spellEnd"/>
      <w:r w:rsidRPr="00DB7613">
        <w:rPr>
          <w:b/>
        </w:rPr>
        <w:t xml:space="preserve"> </w:t>
      </w:r>
      <w:proofErr w:type="spellStart"/>
      <w:r w:rsidRPr="00DB7613">
        <w:rPr>
          <w:b/>
        </w:rPr>
        <w:t>p.u</w:t>
      </w:r>
      <w:proofErr w:type="spellEnd"/>
      <w:r w:rsidRPr="00DB7613">
        <w:rPr>
          <w:b/>
        </w:rPr>
        <w:t>. parteru</w:t>
      </w:r>
      <w:r>
        <w:rPr>
          <w:b/>
        </w:rPr>
        <w:t xml:space="preserve"> w budynku mieszkalnym</w:t>
      </w:r>
      <w:r w:rsidRPr="00DB7613">
        <w:rPr>
          <w:b/>
        </w:rPr>
        <w:t xml:space="preserve"> ?</w:t>
      </w:r>
      <w:r w:rsidR="005A5B2E" w:rsidRPr="005A5B2E">
        <w:rPr>
          <w:b/>
        </w:rPr>
        <w:t xml:space="preserve"> </w:t>
      </w:r>
    </w:p>
    <w:p w:rsidR="00DB7613" w:rsidRDefault="00DB7613" w:rsidP="005A5B2E">
      <w:pPr>
        <w:rPr>
          <w:b/>
        </w:rPr>
      </w:pPr>
      <w:r>
        <w:rPr>
          <w:b/>
          <w:noProof/>
        </w:rPr>
        <w:drawing>
          <wp:inline distT="0" distB="0" distL="0" distR="0">
            <wp:extent cx="2465930" cy="1974410"/>
            <wp:effectExtent l="19050" t="0" r="0" b="0"/>
            <wp:docPr id="15" name="Obraz 14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955" cy="197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13" w:rsidRPr="005A5B2E" w:rsidRDefault="00A35EE6" w:rsidP="005A5B2E">
      <w:pPr>
        <w:rPr>
          <w:b/>
        </w:rPr>
      </w:pPr>
      <w:r>
        <w:rPr>
          <w:b/>
          <w:noProof/>
        </w:rPr>
        <w:pict>
          <v:roundrect id="_x0000_s1033" style="position:absolute;margin-left:22.9pt;margin-top:65.9pt;width:441.75pt;height:36pt;z-index:251665408" arcsize="10923f" filled="f" strokecolor="red" strokeweight="2.25pt"/>
        </w:pict>
      </w:r>
      <w:r w:rsidR="009A4B7B">
        <w:rPr>
          <w:b/>
          <w:noProof/>
        </w:rPr>
        <w:drawing>
          <wp:inline distT="0" distB="0" distL="0" distR="0">
            <wp:extent cx="5781675" cy="4933950"/>
            <wp:effectExtent l="19050" t="0" r="9525" b="0"/>
            <wp:docPr id="17" name="Obraz 16" descr="tabel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a 2.jpg"/>
                    <pic:cNvPicPr/>
                  </pic:nvPicPr>
                  <pic:blipFill>
                    <a:blip r:embed="rId25" cstate="print"/>
                    <a:srcRect r="6589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B2E" w:rsidRPr="009A4B7B" w:rsidRDefault="009A4B7B" w:rsidP="009A4B7B">
      <w:pPr>
        <w:pStyle w:val="Nagwek2"/>
        <w:ind w:left="0" w:firstLine="0"/>
        <w:rPr>
          <w:b w:val="0"/>
        </w:rPr>
      </w:pPr>
      <w:bookmarkStart w:id="8" w:name="_Toc500343805"/>
      <w:r>
        <w:rPr>
          <w:b w:val="0"/>
        </w:rPr>
        <w:lastRenderedPageBreak/>
        <w:t>(Proponuję zaliczyć w 100%. Mniejszą wysokość uwzględnić np. w parametrze „standard” lub zastosować współczynnik eksperta)</w:t>
      </w:r>
      <w:bookmarkEnd w:id="8"/>
      <w:r>
        <w:rPr>
          <w:b w:val="0"/>
        </w:rPr>
        <w:t xml:space="preserve"> </w:t>
      </w:r>
    </w:p>
    <w:p w:rsidR="005A5B2E" w:rsidRDefault="005A5B2E" w:rsidP="005A5B2E"/>
    <w:p w:rsidR="005A5B2E" w:rsidRDefault="009A4B7B" w:rsidP="005A5B2E">
      <w:pPr>
        <w:rPr>
          <w:b/>
        </w:rPr>
      </w:pPr>
      <w:r>
        <w:rPr>
          <w:b/>
        </w:rPr>
        <w:t>Czy w</w:t>
      </w:r>
      <w:r w:rsidR="0066685F">
        <w:rPr>
          <w:b/>
        </w:rPr>
        <w:t xml:space="preserve"> poprzemysłowym</w:t>
      </w:r>
      <w:r>
        <w:rPr>
          <w:b/>
        </w:rPr>
        <w:t xml:space="preserve"> budynku biurowym korytarze i</w:t>
      </w:r>
      <w:r w:rsidR="00F21322">
        <w:rPr>
          <w:b/>
        </w:rPr>
        <w:t xml:space="preserve"> wewnętrzne</w:t>
      </w:r>
      <w:r>
        <w:rPr>
          <w:b/>
        </w:rPr>
        <w:t xml:space="preserve"> klatki schodowe stanowią powierzchnię użytkową ?</w:t>
      </w:r>
    </w:p>
    <w:p w:rsidR="00672198" w:rsidRPr="00672198" w:rsidRDefault="00672198" w:rsidP="005A5B2E">
      <w:r>
        <w:t>(</w:t>
      </w:r>
      <w:r w:rsidR="00C361C1">
        <w:t xml:space="preserve">W zależności od tego jak była określona </w:t>
      </w:r>
      <w:proofErr w:type="spellStart"/>
      <w:r w:rsidR="00C361C1">
        <w:t>p.u</w:t>
      </w:r>
      <w:proofErr w:type="spellEnd"/>
      <w:r w:rsidR="00C361C1">
        <w:t>. w nieruchomościach porównywalnych?</w:t>
      </w:r>
    </w:p>
    <w:p w:rsidR="005A5B2E" w:rsidRPr="005A5B2E" w:rsidRDefault="00C361C1" w:rsidP="005A5B2E">
      <w:r>
        <w:rPr>
          <w:noProof/>
        </w:rPr>
        <w:drawing>
          <wp:inline distT="0" distB="0" distL="0" distR="0">
            <wp:extent cx="4064508" cy="2656332"/>
            <wp:effectExtent l="19050" t="0" r="0" b="0"/>
            <wp:docPr id="21" name="Obraz 20" descr="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508" cy="265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1C1" w:rsidRDefault="00C361C1" w:rsidP="00C361C1">
      <w:r>
        <w:t xml:space="preserve">Może to jest powierzchnia pomocnicza </w:t>
      </w:r>
      <w:proofErr w:type="spellStart"/>
      <w:r>
        <w:t>Pd</w:t>
      </w:r>
      <w:proofErr w:type="spellEnd"/>
      <w:r>
        <w:t xml:space="preserve"> ?</w:t>
      </w:r>
    </w:p>
    <w:p w:rsidR="00C361C1" w:rsidRDefault="00C361C1" w:rsidP="00C361C1">
      <w:r>
        <w:t xml:space="preserve">Uważam, </w:t>
      </w:r>
      <w:r w:rsidR="00F21322">
        <w:t xml:space="preserve">że w tym przypadku korytarze i wewnętrzna klatka schodowa stanowią </w:t>
      </w:r>
      <w:proofErr w:type="spellStart"/>
      <w:r w:rsidR="00F21322">
        <w:t>p.u</w:t>
      </w:r>
      <w:proofErr w:type="spellEnd"/>
      <w:r w:rsidR="00F21322">
        <w:t xml:space="preserve">.) </w:t>
      </w:r>
      <w:r>
        <w:t xml:space="preserve"> </w:t>
      </w:r>
    </w:p>
    <w:p w:rsidR="00D43019" w:rsidRDefault="00D43019" w:rsidP="00D43019"/>
    <w:p w:rsidR="00BA2DCF" w:rsidRDefault="00BA2DCF" w:rsidP="00BA2DCF">
      <w:pPr>
        <w:rPr>
          <w:b/>
        </w:rPr>
      </w:pPr>
      <w:r>
        <w:rPr>
          <w:b/>
        </w:rPr>
        <w:t>Czy w</w:t>
      </w:r>
      <w:r w:rsidR="0066685F">
        <w:rPr>
          <w:b/>
        </w:rPr>
        <w:t xml:space="preserve"> poprzemysłowym</w:t>
      </w:r>
      <w:r>
        <w:rPr>
          <w:b/>
        </w:rPr>
        <w:t xml:space="preserve"> budynku</w:t>
      </w:r>
      <w:r w:rsidR="0066685F">
        <w:rPr>
          <w:b/>
        </w:rPr>
        <w:t xml:space="preserve"> biurowym</w:t>
      </w:r>
      <w:r>
        <w:rPr>
          <w:b/>
        </w:rPr>
        <w:t xml:space="preserve"> piwnice adaptowane na magazyny i archiwum, o wysokości mniej niż 220 cm stanowią powierzchnię użytkową ?</w:t>
      </w:r>
    </w:p>
    <w:p w:rsidR="00BA2DCF" w:rsidRPr="00BA2DCF" w:rsidRDefault="00BA2DCF" w:rsidP="00BA2DCF">
      <w:r>
        <w:t>( W podejściu dochodowym chyba tak, gdyż przynoszą dochód.</w:t>
      </w:r>
      <w:r w:rsidR="0066685F">
        <w:t xml:space="preserve"> </w:t>
      </w:r>
      <w:r>
        <w:t xml:space="preserve">W podejściu porównawczym chyba tak, bo spełniają delicje pow. użytkowej. Jest </w:t>
      </w:r>
      <w:r w:rsidR="0066685F">
        <w:t xml:space="preserve">niebezpieczeństwo, że w transakcjach porównywalnych piwnice nie są zaliczane do </w:t>
      </w:r>
      <w:proofErr w:type="spellStart"/>
      <w:r w:rsidR="0066685F">
        <w:t>p.u</w:t>
      </w:r>
      <w:proofErr w:type="spellEnd"/>
      <w:r w:rsidR="0066685F">
        <w:t>.)</w:t>
      </w:r>
    </w:p>
    <w:p w:rsidR="00D43019" w:rsidRDefault="00D43019" w:rsidP="00D43019"/>
    <w:p w:rsidR="00D43019" w:rsidRDefault="00D43019" w:rsidP="00D43019"/>
    <w:p w:rsidR="002B1E61" w:rsidRPr="002B1E61" w:rsidRDefault="00D43019" w:rsidP="00D43019">
      <w:r>
        <w:t xml:space="preserve">Andrzej  Garus </w:t>
      </w:r>
    </w:p>
    <w:p w:rsidR="002B1E61" w:rsidRDefault="002B1E61" w:rsidP="00AA38DB"/>
    <w:p w:rsidR="002B1E61" w:rsidRDefault="002B1E61" w:rsidP="00AA38DB"/>
    <w:p w:rsidR="00AA38DB" w:rsidRPr="00AA38DB" w:rsidRDefault="00AA38DB" w:rsidP="00AA38DB"/>
    <w:p w:rsidR="000B5CB1" w:rsidRDefault="000B5CB1" w:rsidP="000B5CB1"/>
    <w:p w:rsidR="000B5CB1" w:rsidRDefault="000B5CB1" w:rsidP="000B5CB1"/>
    <w:p w:rsidR="000B5CB1" w:rsidRDefault="000B5CB1" w:rsidP="000B5CB1"/>
    <w:sectPr w:rsidR="000B5CB1" w:rsidSect="00D317C2">
      <w:head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01FA" w:rsidRDefault="00F301FA" w:rsidP="006707C1">
      <w:r>
        <w:separator/>
      </w:r>
    </w:p>
  </w:endnote>
  <w:endnote w:type="continuationSeparator" w:id="0">
    <w:p w:rsidR="00F301FA" w:rsidRDefault="00F301FA" w:rsidP="006707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01FA" w:rsidRDefault="00F301FA" w:rsidP="006707C1">
      <w:r>
        <w:separator/>
      </w:r>
    </w:p>
  </w:footnote>
  <w:footnote w:type="continuationSeparator" w:id="0">
    <w:p w:rsidR="00F301FA" w:rsidRDefault="00F301FA" w:rsidP="006707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25073"/>
      <w:docPartObj>
        <w:docPartGallery w:val="Page Numbers (Top of Page)"/>
        <w:docPartUnique/>
      </w:docPartObj>
    </w:sdtPr>
    <w:sdtContent>
      <w:p w:rsidR="005A5B2E" w:rsidRDefault="00A35EE6">
        <w:pPr>
          <w:pStyle w:val="Nagwek"/>
          <w:jc w:val="right"/>
        </w:pPr>
        <w:fldSimple w:instr=" PAGE   \* MERGEFORMAT ">
          <w:r w:rsidR="00F20102">
            <w:rPr>
              <w:noProof/>
            </w:rPr>
            <w:t>18</w:t>
          </w:r>
        </w:fldSimple>
      </w:p>
    </w:sdtContent>
  </w:sdt>
  <w:p w:rsidR="005A5B2E" w:rsidRDefault="005A5B2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271CA"/>
    <w:multiLevelType w:val="multilevel"/>
    <w:tmpl w:val="1F80D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666C52"/>
    <w:multiLevelType w:val="multilevel"/>
    <w:tmpl w:val="C54EC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6E7502"/>
    <w:multiLevelType w:val="multilevel"/>
    <w:tmpl w:val="B2EA6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4A3A13"/>
    <w:multiLevelType w:val="hybridMultilevel"/>
    <w:tmpl w:val="5D5AA9F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6514FC8"/>
    <w:multiLevelType w:val="multilevel"/>
    <w:tmpl w:val="CA8C0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5F67FF"/>
    <w:multiLevelType w:val="multilevel"/>
    <w:tmpl w:val="C5B66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3B3960"/>
    <w:multiLevelType w:val="multilevel"/>
    <w:tmpl w:val="625A71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52997C1B"/>
    <w:multiLevelType w:val="multilevel"/>
    <w:tmpl w:val="E6E0C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433F57"/>
    <w:multiLevelType w:val="multilevel"/>
    <w:tmpl w:val="7720A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092776"/>
    <w:multiLevelType w:val="multilevel"/>
    <w:tmpl w:val="C916D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9D5688"/>
    <w:multiLevelType w:val="multilevel"/>
    <w:tmpl w:val="C756E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2A3C0D"/>
    <w:multiLevelType w:val="multilevel"/>
    <w:tmpl w:val="2054A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6E92634"/>
    <w:multiLevelType w:val="multilevel"/>
    <w:tmpl w:val="84264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7"/>
  </w:num>
  <w:num w:numId="5">
    <w:abstractNumId w:val="10"/>
  </w:num>
  <w:num w:numId="6">
    <w:abstractNumId w:val="4"/>
  </w:num>
  <w:num w:numId="7">
    <w:abstractNumId w:val="12"/>
  </w:num>
  <w:num w:numId="8">
    <w:abstractNumId w:val="11"/>
  </w:num>
  <w:num w:numId="9">
    <w:abstractNumId w:val="8"/>
  </w:num>
  <w:num w:numId="10">
    <w:abstractNumId w:val="5"/>
  </w:num>
  <w:num w:numId="11">
    <w:abstractNumId w:val="3"/>
  </w:num>
  <w:num w:numId="12">
    <w:abstractNumId w:val="0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0FE5"/>
    <w:rsid w:val="000330E5"/>
    <w:rsid w:val="00057797"/>
    <w:rsid w:val="00080F25"/>
    <w:rsid w:val="00082188"/>
    <w:rsid w:val="000957C6"/>
    <w:rsid w:val="000B5CB1"/>
    <w:rsid w:val="002B1E61"/>
    <w:rsid w:val="004029BB"/>
    <w:rsid w:val="004A2C12"/>
    <w:rsid w:val="00515877"/>
    <w:rsid w:val="005A5B2E"/>
    <w:rsid w:val="005B7919"/>
    <w:rsid w:val="0066685F"/>
    <w:rsid w:val="006707C1"/>
    <w:rsid w:val="00672198"/>
    <w:rsid w:val="006B17B1"/>
    <w:rsid w:val="006C12F2"/>
    <w:rsid w:val="007D29E4"/>
    <w:rsid w:val="007D6A01"/>
    <w:rsid w:val="00840FE5"/>
    <w:rsid w:val="00841F79"/>
    <w:rsid w:val="00894706"/>
    <w:rsid w:val="008F41BE"/>
    <w:rsid w:val="009A4B7B"/>
    <w:rsid w:val="009C4CFD"/>
    <w:rsid w:val="00A35EE6"/>
    <w:rsid w:val="00A61C53"/>
    <w:rsid w:val="00AA38DB"/>
    <w:rsid w:val="00AD37DC"/>
    <w:rsid w:val="00BA2DCF"/>
    <w:rsid w:val="00BF4062"/>
    <w:rsid w:val="00C361C1"/>
    <w:rsid w:val="00C51B6B"/>
    <w:rsid w:val="00D317C2"/>
    <w:rsid w:val="00D43019"/>
    <w:rsid w:val="00D62562"/>
    <w:rsid w:val="00DB7613"/>
    <w:rsid w:val="00E06CE8"/>
    <w:rsid w:val="00E921F8"/>
    <w:rsid w:val="00EA4AE1"/>
    <w:rsid w:val="00F20102"/>
    <w:rsid w:val="00F21322"/>
    <w:rsid w:val="00F30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red"/>
    </o:shapedefaults>
    <o:shapelayout v:ext="edit">
      <o:idmap v:ext="edit" data="1"/>
      <o:rules v:ext="edit">
        <o:r id="V:Rule5" type="connector" idref="#_x0000_s1026"/>
        <o:r id="V:Rule6" type="connector" idref="#_x0000_s1030"/>
        <o:r id="V:Rule7" type="connector" idref="#_x0000_s1027"/>
        <o:r id="V:Rule8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7797"/>
    <w:pPr>
      <w:spacing w:after="0" w:line="240" w:lineRule="auto"/>
    </w:pPr>
    <w:rPr>
      <w:rFonts w:ascii="Arial" w:hAnsi="Arial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40FE5"/>
    <w:pPr>
      <w:keepNext/>
      <w:keepLines/>
      <w:spacing w:before="480"/>
      <w:outlineLvl w:val="0"/>
    </w:pPr>
    <w:rPr>
      <w:rFonts w:eastAsiaTheme="majorEastAsia" w:cs="Arial"/>
      <w:b/>
      <w:bCs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94706"/>
    <w:pPr>
      <w:keepNext/>
      <w:keepLines/>
      <w:spacing w:before="200"/>
      <w:ind w:left="426" w:hanging="426"/>
      <w:outlineLvl w:val="1"/>
    </w:pPr>
    <w:rPr>
      <w:rFonts w:eastAsiaTheme="majorEastAsia" w:cstheme="majorBidi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40FE5"/>
    <w:rPr>
      <w:rFonts w:ascii="Arial" w:eastAsiaTheme="majorEastAsia" w:hAnsi="Arial" w:cs="Arial"/>
      <w:b/>
      <w:bCs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840F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40FE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FE5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0957C6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894706"/>
    <w:rPr>
      <w:rFonts w:ascii="Arial" w:eastAsiaTheme="majorEastAsia" w:hAnsi="Arial" w:cstheme="majorBidi"/>
      <w:b/>
      <w:bCs/>
      <w:sz w:val="24"/>
      <w:szCs w:val="2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707C1"/>
    <w:rPr>
      <w:rFonts w:ascii="Times New Roman" w:hAnsi="Times New Roman"/>
      <w:szCs w:val="24"/>
    </w:rPr>
  </w:style>
  <w:style w:type="character" w:customStyle="1" w:styleId="itemtitlepart0">
    <w:name w:val="item_title_part0"/>
    <w:basedOn w:val="Domylnaczcionkaakapitu"/>
    <w:rsid w:val="006707C1"/>
  </w:style>
  <w:style w:type="paragraph" w:styleId="Nagwek">
    <w:name w:val="header"/>
    <w:basedOn w:val="Normalny"/>
    <w:link w:val="NagwekZnak"/>
    <w:uiPriority w:val="99"/>
    <w:unhideWhenUsed/>
    <w:rsid w:val="006707C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07C1"/>
    <w:rPr>
      <w:rFonts w:ascii="Arial" w:hAnsi="Arial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6707C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707C1"/>
    <w:rPr>
      <w:rFonts w:ascii="Arial" w:hAnsi="Arial" w:cs="Times New Roman"/>
      <w:sz w:val="24"/>
      <w:szCs w:val="20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B17B1"/>
    <w:pPr>
      <w:spacing w:line="276" w:lineRule="auto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6B17B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6B17B1"/>
    <w:pPr>
      <w:spacing w:after="100"/>
      <w:ind w:left="240"/>
    </w:pPr>
  </w:style>
  <w:style w:type="character" w:styleId="Hipercze">
    <w:name w:val="Hyperlink"/>
    <w:basedOn w:val="Domylnaczcionkaakapitu"/>
    <w:uiPriority w:val="99"/>
    <w:unhideWhenUsed/>
    <w:rsid w:val="006B17B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3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A21126-344F-4FF7-AFE5-FBC825F85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1</Pages>
  <Words>1355</Words>
  <Characters>8134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Właściciel</dc:creator>
  <cp:keywords/>
  <dc:description/>
  <cp:lastModifiedBy>Właściciel</cp:lastModifiedBy>
  <cp:revision>14</cp:revision>
  <cp:lastPrinted>2017-12-06T16:15:00Z</cp:lastPrinted>
  <dcterms:created xsi:type="dcterms:W3CDTF">2017-12-06T10:12:00Z</dcterms:created>
  <dcterms:modified xsi:type="dcterms:W3CDTF">2017-12-08T13:06:00Z</dcterms:modified>
</cp:coreProperties>
</file>